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377FD7">
      <w:pPr>
        <w:tabs>
          <w:tab w:val="left" w:pos="3516"/>
          <w:tab w:val="center" w:pos="4536"/>
        </w:tabs>
        <w:jc w:val="right"/>
        <w:rPr>
          <w:bCs/>
          <w:lang w:val="ro-RO"/>
        </w:rPr>
      </w:pPr>
    </w:p>
    <w:p w14:paraId="0AF67975">
      <w:pPr>
        <w:tabs>
          <w:tab w:val="left" w:pos="3516"/>
          <w:tab w:val="center" w:pos="4536"/>
        </w:tabs>
        <w:jc w:val="right"/>
        <w:rPr>
          <w:bCs/>
          <w:lang w:val="ro-RO"/>
        </w:rPr>
      </w:pPr>
      <w:r>
        <w:rPr>
          <w:bCs/>
          <w:lang w:val="ro-RO"/>
        </w:rPr>
        <w:t>Aprobat,</w:t>
      </w:r>
    </w:p>
    <w:p w14:paraId="2C9E2C30">
      <w:pPr>
        <w:tabs>
          <w:tab w:val="left" w:pos="3516"/>
          <w:tab w:val="center" w:pos="4536"/>
        </w:tabs>
        <w:jc w:val="right"/>
        <w:rPr>
          <w:b/>
          <w:lang w:val="ro-RO"/>
        </w:rPr>
      </w:pPr>
      <w:r>
        <w:rPr>
          <w:b/>
          <w:lang w:val="ro-RO"/>
        </w:rPr>
        <w:t>Dănuț-Alexandru POTOR</w:t>
      </w:r>
    </w:p>
    <w:p w14:paraId="4B11E722">
      <w:pPr>
        <w:tabs>
          <w:tab w:val="left" w:pos="3516"/>
          <w:tab w:val="center" w:pos="4536"/>
        </w:tabs>
        <w:jc w:val="right"/>
        <w:rPr>
          <w:bCs/>
          <w:i/>
          <w:iCs/>
          <w:lang w:val="ro-RO"/>
        </w:rPr>
      </w:pPr>
      <w:r>
        <w:rPr>
          <w:bCs/>
          <w:i/>
          <w:iCs/>
          <w:lang w:val="ro-RO"/>
        </w:rPr>
        <w:t>Primarul Municipiului Slobozia</w:t>
      </w:r>
    </w:p>
    <w:p w14:paraId="08DCD7F3">
      <w:pPr>
        <w:tabs>
          <w:tab w:val="left" w:pos="3516"/>
          <w:tab w:val="center" w:pos="4536"/>
        </w:tabs>
        <w:jc w:val="both"/>
        <w:rPr>
          <w:bCs/>
          <w:lang w:val="ro-RO"/>
        </w:rPr>
      </w:pPr>
    </w:p>
    <w:p w14:paraId="1B553B87">
      <w:pPr>
        <w:tabs>
          <w:tab w:val="left" w:pos="3516"/>
          <w:tab w:val="center" w:pos="4536"/>
        </w:tabs>
        <w:jc w:val="both"/>
        <w:rPr>
          <w:b/>
          <w:sz w:val="32"/>
          <w:szCs w:val="32"/>
          <w:u w:val="single"/>
          <w:lang w:val="ro-RO"/>
        </w:rPr>
      </w:pPr>
    </w:p>
    <w:p w14:paraId="2FD97100">
      <w:pPr>
        <w:tabs>
          <w:tab w:val="left" w:pos="3516"/>
          <w:tab w:val="center" w:pos="4536"/>
        </w:tabs>
        <w:jc w:val="both"/>
        <w:rPr>
          <w:b/>
          <w:sz w:val="32"/>
          <w:szCs w:val="32"/>
          <w:u w:val="single"/>
          <w:lang w:val="ro-RO"/>
        </w:rPr>
      </w:pPr>
    </w:p>
    <w:p w14:paraId="43D0E75D">
      <w:pPr>
        <w:tabs>
          <w:tab w:val="left" w:pos="3516"/>
          <w:tab w:val="center" w:pos="4536"/>
        </w:tabs>
        <w:jc w:val="both"/>
        <w:rPr>
          <w:b/>
          <w:sz w:val="32"/>
          <w:szCs w:val="32"/>
          <w:u w:val="single"/>
          <w:lang w:val="ro-RO"/>
        </w:rPr>
      </w:pPr>
    </w:p>
    <w:p w14:paraId="4048B6DF">
      <w:pPr>
        <w:tabs>
          <w:tab w:val="left" w:pos="3516"/>
          <w:tab w:val="center" w:pos="4536"/>
        </w:tabs>
        <w:jc w:val="both"/>
        <w:rPr>
          <w:b/>
          <w:sz w:val="32"/>
          <w:szCs w:val="32"/>
          <w:u w:val="single"/>
          <w:lang w:val="ro-RO"/>
        </w:rPr>
      </w:pPr>
    </w:p>
    <w:p w14:paraId="409C6BEB">
      <w:pPr>
        <w:tabs>
          <w:tab w:val="left" w:pos="3516"/>
          <w:tab w:val="center" w:pos="4536"/>
        </w:tabs>
        <w:jc w:val="both"/>
        <w:rPr>
          <w:b/>
          <w:sz w:val="32"/>
          <w:szCs w:val="32"/>
          <w:u w:val="single"/>
          <w:lang w:val="ro-RO"/>
        </w:rPr>
      </w:pPr>
    </w:p>
    <w:p w14:paraId="4BE4E738">
      <w:pPr>
        <w:tabs>
          <w:tab w:val="left" w:pos="3516"/>
          <w:tab w:val="center" w:pos="4536"/>
        </w:tabs>
        <w:jc w:val="both"/>
        <w:rPr>
          <w:b/>
          <w:sz w:val="32"/>
          <w:szCs w:val="32"/>
          <w:u w:val="single"/>
          <w:lang w:val="ro-RO"/>
        </w:rPr>
      </w:pPr>
    </w:p>
    <w:p w14:paraId="278728CF">
      <w:pPr>
        <w:tabs>
          <w:tab w:val="left" w:pos="3516"/>
          <w:tab w:val="center" w:pos="4536"/>
        </w:tabs>
        <w:jc w:val="both"/>
        <w:rPr>
          <w:b/>
          <w:sz w:val="32"/>
          <w:szCs w:val="32"/>
          <w:u w:val="single"/>
          <w:lang w:val="ro-RO"/>
        </w:rPr>
      </w:pPr>
    </w:p>
    <w:p w14:paraId="07356265">
      <w:pPr>
        <w:tabs>
          <w:tab w:val="left" w:pos="3516"/>
          <w:tab w:val="center" w:pos="4536"/>
        </w:tabs>
        <w:jc w:val="both"/>
        <w:rPr>
          <w:b/>
          <w:sz w:val="32"/>
          <w:szCs w:val="32"/>
          <w:u w:val="single"/>
          <w:lang w:val="ro-RO"/>
        </w:rPr>
      </w:pPr>
    </w:p>
    <w:p w14:paraId="260C8453">
      <w:pPr>
        <w:tabs>
          <w:tab w:val="left" w:pos="3516"/>
          <w:tab w:val="center" w:pos="4536"/>
        </w:tabs>
        <w:jc w:val="center"/>
        <w:rPr>
          <w:b/>
          <w:sz w:val="32"/>
          <w:szCs w:val="32"/>
          <w:u w:val="single"/>
          <w:lang w:val="ro-RO"/>
        </w:rPr>
      </w:pPr>
      <w:r>
        <w:rPr>
          <w:b/>
          <w:sz w:val="32"/>
          <w:szCs w:val="32"/>
          <w:u w:val="single"/>
          <w:lang w:val="ro-RO"/>
        </w:rPr>
        <w:t>CAIET DE SARCINI</w:t>
      </w:r>
    </w:p>
    <w:p w14:paraId="493D3081">
      <w:pPr>
        <w:contextualSpacing/>
        <w:jc w:val="center"/>
        <w:rPr>
          <w:b/>
          <w:bCs/>
          <w:u w:val="single"/>
          <w:lang w:val="ro-RO"/>
        </w:rPr>
      </w:pPr>
      <w:r>
        <w:rPr>
          <w:b/>
          <w:bCs/>
          <w:u w:val="single"/>
          <w:lang w:val="ro-RO"/>
        </w:rPr>
        <w:t>privind achiziția de materiale didactice</w:t>
      </w:r>
      <w:r>
        <w:rPr>
          <w:rFonts w:hint="default"/>
          <w:b/>
          <w:bCs/>
          <w:u w:val="single"/>
          <w:lang w:val="en-US"/>
        </w:rPr>
        <w:t xml:space="preserve"> pentru cabinetele de muzica</w:t>
      </w:r>
      <w:r>
        <w:rPr>
          <w:b/>
          <w:bCs/>
          <w:u w:val="single"/>
          <w:lang w:val="ro-RO"/>
        </w:rPr>
        <w:t xml:space="preserve"> pentru dotarea unităților de învățământ preuniversitar pentru implementarea proiectului</w:t>
      </w:r>
    </w:p>
    <w:p w14:paraId="4B7AA239">
      <w:pPr>
        <w:contextualSpacing/>
        <w:jc w:val="center"/>
        <w:rPr>
          <w:b/>
          <w:bCs/>
          <w:u w:val="single"/>
          <w:lang w:val="ro-RO"/>
        </w:rPr>
      </w:pPr>
      <w:r>
        <w:rPr>
          <w:b/>
          <w:bCs/>
          <w:u w:val="single"/>
          <w:lang w:val="ro-RO"/>
        </w:rPr>
        <w:t>„Dotarea unităților de învățământ</w:t>
      </w:r>
    </w:p>
    <w:p w14:paraId="3AAE4AFC">
      <w:pPr>
        <w:contextualSpacing/>
        <w:jc w:val="center"/>
        <w:rPr>
          <w:b/>
          <w:bCs/>
          <w:u w:val="single"/>
          <w:lang w:val="ro-RO"/>
        </w:rPr>
      </w:pPr>
      <w:r>
        <w:rPr>
          <w:b/>
          <w:bCs/>
          <w:u w:val="single"/>
          <w:lang w:val="ro-RO"/>
        </w:rPr>
        <w:t>preuniversitar și a unităților conexe din Municipiul Slobozia”</w:t>
      </w:r>
    </w:p>
    <w:p w14:paraId="4B7F7D10">
      <w:pPr>
        <w:contextualSpacing/>
        <w:jc w:val="center"/>
        <w:rPr>
          <w:b/>
          <w:bCs/>
          <w:u w:val="single"/>
          <w:lang w:val="ro-RO"/>
        </w:rPr>
      </w:pPr>
      <w:r>
        <w:rPr>
          <w:b/>
          <w:bCs/>
          <w:u w:val="single"/>
          <w:lang w:val="ro-RO"/>
        </w:rPr>
        <w:t>cod proiect F-PNRR-Dotari-2023-6216</w:t>
      </w:r>
    </w:p>
    <w:p w14:paraId="74EDAEA5">
      <w:pPr>
        <w:contextualSpacing/>
        <w:jc w:val="both"/>
        <w:rPr>
          <w:b/>
          <w:bCs/>
          <w:i/>
          <w:iCs/>
          <w:lang w:val="ro-RO"/>
        </w:rPr>
      </w:pPr>
    </w:p>
    <w:p w14:paraId="5D51D5FE">
      <w:pPr>
        <w:contextualSpacing/>
        <w:jc w:val="both"/>
        <w:rPr>
          <w:b/>
          <w:bCs/>
          <w:i/>
          <w:iCs/>
          <w:lang w:val="ro-RO"/>
        </w:rPr>
      </w:pPr>
    </w:p>
    <w:p w14:paraId="278B5A66">
      <w:pPr>
        <w:contextualSpacing/>
        <w:jc w:val="both"/>
        <w:rPr>
          <w:b/>
          <w:bCs/>
          <w:i/>
          <w:iCs/>
          <w:lang w:val="ro-RO"/>
        </w:rPr>
      </w:pPr>
    </w:p>
    <w:p w14:paraId="2817CED4">
      <w:pPr>
        <w:contextualSpacing/>
        <w:jc w:val="both"/>
        <w:rPr>
          <w:b/>
          <w:bCs/>
          <w:i/>
          <w:iCs/>
          <w:lang w:val="ro-RO"/>
        </w:rPr>
      </w:pPr>
    </w:p>
    <w:p w14:paraId="34665157">
      <w:pPr>
        <w:contextualSpacing/>
        <w:jc w:val="both"/>
        <w:rPr>
          <w:b/>
          <w:bCs/>
          <w:i/>
          <w:iCs/>
          <w:lang w:val="ro-RO"/>
        </w:rPr>
      </w:pPr>
    </w:p>
    <w:p w14:paraId="544B4488">
      <w:pPr>
        <w:contextualSpacing/>
        <w:jc w:val="both"/>
        <w:rPr>
          <w:b/>
          <w:bCs/>
          <w:i/>
          <w:iCs/>
          <w:lang w:val="ro-RO"/>
        </w:rPr>
      </w:pPr>
    </w:p>
    <w:p w14:paraId="6690EBA6">
      <w:pPr>
        <w:contextualSpacing/>
        <w:jc w:val="both"/>
        <w:rPr>
          <w:b/>
          <w:bCs/>
          <w:i/>
          <w:iCs/>
          <w:lang w:val="ro-RO"/>
        </w:rPr>
      </w:pPr>
    </w:p>
    <w:p w14:paraId="60AD1BC4">
      <w:pPr>
        <w:contextualSpacing/>
        <w:jc w:val="both"/>
        <w:rPr>
          <w:b/>
          <w:bCs/>
          <w:i/>
          <w:iCs/>
          <w:lang w:val="ro-RO"/>
        </w:rPr>
      </w:pPr>
    </w:p>
    <w:p w14:paraId="6C0F0D96">
      <w:pPr>
        <w:contextualSpacing/>
        <w:jc w:val="both"/>
        <w:rPr>
          <w:b/>
          <w:bCs/>
          <w:i/>
          <w:iCs/>
          <w:lang w:val="ro-RO"/>
        </w:rPr>
      </w:pPr>
    </w:p>
    <w:p w14:paraId="1889161A">
      <w:pPr>
        <w:contextualSpacing/>
        <w:jc w:val="both"/>
        <w:rPr>
          <w:b/>
          <w:bCs/>
          <w:i/>
          <w:iCs/>
          <w:lang w:val="ro-RO"/>
        </w:rPr>
      </w:pPr>
    </w:p>
    <w:p w14:paraId="5E21986B">
      <w:pPr>
        <w:contextualSpacing/>
        <w:jc w:val="both"/>
        <w:rPr>
          <w:b/>
          <w:bCs/>
          <w:i/>
          <w:iCs/>
          <w:lang w:val="ro-RO"/>
        </w:rPr>
      </w:pPr>
    </w:p>
    <w:p w14:paraId="49E12AD2">
      <w:pPr>
        <w:contextualSpacing/>
        <w:jc w:val="both"/>
        <w:rPr>
          <w:b/>
          <w:bCs/>
          <w:i/>
          <w:iCs/>
          <w:lang w:val="ro-RO"/>
        </w:rPr>
      </w:pPr>
    </w:p>
    <w:p w14:paraId="5E348DFC">
      <w:pPr>
        <w:contextualSpacing/>
        <w:jc w:val="both"/>
        <w:rPr>
          <w:b/>
          <w:bCs/>
          <w:i/>
          <w:iCs/>
          <w:lang w:val="ro-RO"/>
        </w:rPr>
      </w:pPr>
    </w:p>
    <w:p w14:paraId="2137D244">
      <w:pPr>
        <w:contextualSpacing/>
        <w:jc w:val="both"/>
        <w:rPr>
          <w:b/>
          <w:bCs/>
          <w:i/>
          <w:iCs/>
          <w:lang w:val="ro-RO"/>
        </w:rPr>
      </w:pPr>
    </w:p>
    <w:p w14:paraId="758A4CBF">
      <w:pPr>
        <w:contextualSpacing/>
        <w:jc w:val="both"/>
        <w:rPr>
          <w:b/>
          <w:bCs/>
          <w:i/>
          <w:iCs/>
          <w:lang w:val="ro-RO"/>
        </w:rPr>
      </w:pPr>
    </w:p>
    <w:p w14:paraId="552930B2">
      <w:pPr>
        <w:contextualSpacing/>
        <w:jc w:val="both"/>
        <w:rPr>
          <w:b/>
          <w:bCs/>
          <w:i/>
          <w:iCs/>
          <w:lang w:val="ro-RO"/>
        </w:rPr>
      </w:pPr>
    </w:p>
    <w:p w14:paraId="55AF379E">
      <w:pPr>
        <w:contextualSpacing/>
        <w:jc w:val="both"/>
        <w:rPr>
          <w:b/>
          <w:bCs/>
          <w:i/>
          <w:iCs/>
          <w:lang w:val="ro-RO"/>
        </w:rPr>
      </w:pPr>
    </w:p>
    <w:p w14:paraId="3DF58888">
      <w:pPr>
        <w:contextualSpacing/>
        <w:jc w:val="both"/>
        <w:rPr>
          <w:b/>
          <w:bCs/>
          <w:i/>
          <w:iCs/>
          <w:lang w:val="ro-RO"/>
        </w:rPr>
      </w:pPr>
    </w:p>
    <w:p w14:paraId="51800F50">
      <w:pPr>
        <w:contextualSpacing/>
        <w:jc w:val="both"/>
        <w:rPr>
          <w:b/>
          <w:bCs/>
          <w:i/>
          <w:iCs/>
          <w:lang w:val="ro-RO"/>
        </w:rPr>
      </w:pPr>
    </w:p>
    <w:p w14:paraId="5DD4265D">
      <w:pPr>
        <w:contextualSpacing/>
        <w:jc w:val="both"/>
        <w:rPr>
          <w:b/>
          <w:bCs/>
          <w:i/>
          <w:iCs/>
          <w:lang w:val="ro-RO"/>
        </w:rPr>
      </w:pPr>
    </w:p>
    <w:p w14:paraId="14529B6B">
      <w:pPr>
        <w:contextualSpacing/>
        <w:jc w:val="both"/>
        <w:rPr>
          <w:b/>
          <w:bCs/>
          <w:i/>
          <w:iCs/>
          <w:lang w:val="ro-RO"/>
        </w:rPr>
      </w:pPr>
    </w:p>
    <w:p w14:paraId="51D0C391">
      <w:pPr>
        <w:contextualSpacing/>
        <w:jc w:val="both"/>
        <w:rPr>
          <w:b/>
          <w:bCs/>
          <w:i/>
          <w:iCs/>
          <w:lang w:val="ro-RO"/>
        </w:rPr>
      </w:pPr>
    </w:p>
    <w:p w14:paraId="75B8D3E5">
      <w:pPr>
        <w:contextualSpacing/>
        <w:jc w:val="both"/>
        <w:rPr>
          <w:b/>
          <w:bCs/>
          <w:i/>
          <w:iCs/>
          <w:lang w:val="ro-RO"/>
        </w:rPr>
      </w:pPr>
    </w:p>
    <w:p w14:paraId="4D3A6ED7">
      <w:pPr>
        <w:contextualSpacing/>
        <w:jc w:val="both"/>
        <w:rPr>
          <w:b/>
          <w:bCs/>
          <w:i/>
          <w:iCs/>
          <w:lang w:val="ro-RO"/>
        </w:rPr>
      </w:pPr>
    </w:p>
    <w:p w14:paraId="01B41188">
      <w:pPr>
        <w:contextualSpacing/>
        <w:jc w:val="both"/>
        <w:rPr>
          <w:b/>
          <w:bCs/>
          <w:i/>
          <w:iCs/>
          <w:lang w:val="ro-RO"/>
        </w:rPr>
      </w:pPr>
    </w:p>
    <w:p w14:paraId="557268C4">
      <w:pPr>
        <w:contextualSpacing/>
        <w:jc w:val="both"/>
        <w:rPr>
          <w:b/>
          <w:bCs/>
          <w:i/>
          <w:iCs/>
          <w:lang w:val="ro-RO"/>
        </w:rPr>
      </w:pPr>
    </w:p>
    <w:p w14:paraId="64F24398">
      <w:pPr>
        <w:contextualSpacing/>
        <w:jc w:val="both"/>
        <w:rPr>
          <w:b/>
          <w:bCs/>
          <w:i/>
          <w:iCs/>
          <w:lang w:val="ro-RO"/>
        </w:rPr>
      </w:pPr>
    </w:p>
    <w:p w14:paraId="0F83A4F9">
      <w:pPr>
        <w:contextualSpacing/>
        <w:jc w:val="both"/>
        <w:rPr>
          <w:b/>
          <w:bCs/>
          <w:lang w:val="ro-RO"/>
        </w:rPr>
      </w:pPr>
      <w:r>
        <w:rPr>
          <w:b/>
          <w:bCs/>
          <w:lang w:val="ro-RO"/>
        </w:rPr>
        <w:t>CUPRINS</w:t>
      </w:r>
    </w:p>
    <w:p w14:paraId="485C9695">
      <w:pPr>
        <w:contextualSpacing/>
        <w:jc w:val="both"/>
        <w:rPr>
          <w:b/>
          <w:bCs/>
          <w:lang w:val="ro-RO"/>
        </w:rPr>
      </w:pPr>
    </w:p>
    <w:p w14:paraId="155B8C86">
      <w:pPr>
        <w:pStyle w:val="20"/>
        <w:tabs>
          <w:tab w:val="right" w:leader="dot" w:pos="9746"/>
          <w:tab w:val="clear" w:pos="450"/>
          <w:tab w:val="clear" w:pos="9394"/>
        </w:tabs>
      </w:pPr>
      <w:r>
        <w:rPr>
          <w:i/>
          <w:iCs/>
        </w:rPr>
        <w:fldChar w:fldCharType="begin"/>
      </w:r>
      <w:r>
        <w:rPr>
          <w:i/>
          <w:iCs/>
        </w:rPr>
        <w:instrText xml:space="preserve"> TOC \o "1-3" \h \z \u </w:instrText>
      </w:r>
      <w:r>
        <w:rPr>
          <w:i/>
          <w:iCs/>
        </w:rPr>
        <w:fldChar w:fldCharType="separate"/>
      </w:r>
      <w:r>
        <w:rPr>
          <w:i/>
          <w:iCs/>
        </w:rPr>
        <w:fldChar w:fldCharType="begin"/>
      </w:r>
      <w:r>
        <w:rPr>
          <w:i/>
          <w:iCs/>
        </w:rPr>
        <w:instrText xml:space="preserve"> HYPERLINK \l _Toc1108 </w:instrText>
      </w:r>
      <w:r>
        <w:rPr>
          <w:i/>
          <w:iCs/>
        </w:rPr>
        <w:fldChar w:fldCharType="separate"/>
      </w:r>
      <w:r>
        <w:rPr>
          <w:rFonts w:hint="default"/>
          <w:szCs w:val="22"/>
          <w:lang w:val="ro-RO"/>
        </w:rPr>
        <w:t xml:space="preserve">1. </w:t>
      </w:r>
      <w:r>
        <w:rPr>
          <w:szCs w:val="22"/>
          <w:lang w:val="ro-RO"/>
        </w:rPr>
        <w:t>Introducere</w:t>
      </w:r>
      <w:r>
        <w:tab/>
      </w:r>
      <w:r>
        <w:fldChar w:fldCharType="begin"/>
      </w:r>
      <w:r>
        <w:instrText xml:space="preserve"> PAGEREF _Toc1108 \h </w:instrText>
      </w:r>
      <w:r>
        <w:fldChar w:fldCharType="separate"/>
      </w:r>
      <w:r>
        <w:t>4</w:t>
      </w:r>
      <w:r>
        <w:fldChar w:fldCharType="end"/>
      </w:r>
      <w:r>
        <w:rPr>
          <w:i/>
          <w:iCs/>
        </w:rPr>
        <w:fldChar w:fldCharType="end"/>
      </w:r>
    </w:p>
    <w:p w14:paraId="38CE2BB2">
      <w:pPr>
        <w:pStyle w:val="20"/>
        <w:tabs>
          <w:tab w:val="right" w:leader="dot" w:pos="9746"/>
          <w:tab w:val="clear" w:pos="450"/>
          <w:tab w:val="clear" w:pos="9394"/>
        </w:tabs>
      </w:pPr>
      <w:r>
        <w:rPr>
          <w:bCs/>
          <w:i/>
          <w:iCs/>
          <w:szCs w:val="22"/>
          <w:lang w:val="ro-RO"/>
        </w:rPr>
        <w:fldChar w:fldCharType="begin"/>
      </w:r>
      <w:r>
        <w:rPr>
          <w:bCs/>
          <w:i/>
          <w:iCs/>
          <w:szCs w:val="22"/>
          <w:lang w:val="ro-RO"/>
        </w:rPr>
        <w:instrText xml:space="preserve"> HYPERLINK \l _Toc8837 </w:instrText>
      </w:r>
      <w:r>
        <w:rPr>
          <w:bCs/>
          <w:i/>
          <w:iCs/>
          <w:szCs w:val="22"/>
          <w:lang w:val="ro-RO"/>
        </w:rPr>
        <w:fldChar w:fldCharType="separate"/>
      </w:r>
      <w:r>
        <w:rPr>
          <w:rFonts w:hint="default"/>
          <w:szCs w:val="22"/>
          <w:lang w:val="ro-RO" w:eastAsia="ro-RO" w:bidi="ro-RO"/>
        </w:rPr>
        <w:t xml:space="preserve">2. </w:t>
      </w:r>
      <w:r>
        <w:rPr>
          <w:szCs w:val="22"/>
          <w:lang w:val="ro-RO" w:eastAsia="ro-RO" w:bidi="ro-RO"/>
        </w:rPr>
        <w:t>Contextul realizării achiziției de produse</w:t>
      </w:r>
      <w:r>
        <w:tab/>
      </w:r>
      <w:r>
        <w:fldChar w:fldCharType="begin"/>
      </w:r>
      <w:r>
        <w:instrText xml:space="preserve"> PAGEREF _Toc8837 \h </w:instrText>
      </w:r>
      <w:r>
        <w:fldChar w:fldCharType="separate"/>
      </w:r>
      <w:r>
        <w:t>4</w:t>
      </w:r>
      <w:r>
        <w:fldChar w:fldCharType="end"/>
      </w:r>
      <w:r>
        <w:rPr>
          <w:bCs/>
          <w:i/>
          <w:iCs/>
          <w:szCs w:val="22"/>
          <w:lang w:val="ro-RO"/>
        </w:rPr>
        <w:fldChar w:fldCharType="end"/>
      </w:r>
    </w:p>
    <w:p w14:paraId="47A1BFE5">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_Toc29154 </w:instrText>
      </w:r>
      <w:r>
        <w:rPr>
          <w:bCs/>
          <w:i/>
          <w:iCs/>
          <w:szCs w:val="22"/>
          <w:lang w:val="ro-RO"/>
        </w:rPr>
        <w:fldChar w:fldCharType="separate"/>
      </w:r>
      <w:r>
        <w:rPr>
          <w:i w:val="0"/>
          <w:iCs/>
          <w:szCs w:val="22"/>
          <w:lang w:val="ro-RO"/>
        </w:rPr>
        <w:t xml:space="preserve">2.1 </w:t>
      </w:r>
      <w:r>
        <w:rPr>
          <w:szCs w:val="22"/>
          <w:lang w:val="ro-RO"/>
        </w:rPr>
        <w:t>Informații despre autoritatea contractantă</w:t>
      </w:r>
      <w:r>
        <w:tab/>
      </w:r>
      <w:r>
        <w:fldChar w:fldCharType="begin"/>
      </w:r>
      <w:r>
        <w:instrText xml:space="preserve"> PAGEREF _Toc29154 \h </w:instrText>
      </w:r>
      <w:r>
        <w:fldChar w:fldCharType="separate"/>
      </w:r>
      <w:r>
        <w:t>4</w:t>
      </w:r>
      <w:r>
        <w:fldChar w:fldCharType="end"/>
      </w:r>
      <w:r>
        <w:rPr>
          <w:bCs/>
          <w:i/>
          <w:iCs/>
          <w:szCs w:val="22"/>
          <w:lang w:val="ro-RO"/>
        </w:rPr>
        <w:fldChar w:fldCharType="end"/>
      </w:r>
    </w:p>
    <w:p w14:paraId="44F0051A">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_Toc3182 </w:instrText>
      </w:r>
      <w:r>
        <w:rPr>
          <w:bCs/>
          <w:i/>
          <w:iCs/>
          <w:szCs w:val="22"/>
          <w:lang w:val="ro-RO"/>
        </w:rPr>
        <w:fldChar w:fldCharType="separate"/>
      </w:r>
      <w:r>
        <w:rPr>
          <w:i w:val="0"/>
          <w:iCs/>
          <w:szCs w:val="22"/>
          <w:lang w:val="ro-RO"/>
        </w:rPr>
        <w:t xml:space="preserve">2.2 </w:t>
      </w:r>
      <w:r>
        <w:rPr>
          <w:szCs w:val="22"/>
          <w:lang w:val="ro-RO"/>
        </w:rPr>
        <w:t>Informații despre contextul care a determinat achiziționarea produselor</w:t>
      </w:r>
      <w:r>
        <w:tab/>
      </w:r>
      <w:r>
        <w:fldChar w:fldCharType="begin"/>
      </w:r>
      <w:r>
        <w:instrText xml:space="preserve"> PAGEREF _Toc3182 \h </w:instrText>
      </w:r>
      <w:r>
        <w:fldChar w:fldCharType="separate"/>
      </w:r>
      <w:r>
        <w:t>5</w:t>
      </w:r>
      <w:r>
        <w:fldChar w:fldCharType="end"/>
      </w:r>
      <w:r>
        <w:rPr>
          <w:bCs/>
          <w:i/>
          <w:iCs/>
          <w:szCs w:val="22"/>
          <w:lang w:val="ro-RO"/>
        </w:rPr>
        <w:fldChar w:fldCharType="end"/>
      </w:r>
    </w:p>
    <w:p w14:paraId="5B81AA43">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_Toc20368 </w:instrText>
      </w:r>
      <w:r>
        <w:rPr>
          <w:bCs/>
          <w:i/>
          <w:iCs/>
          <w:szCs w:val="22"/>
          <w:lang w:val="ro-RO"/>
        </w:rPr>
        <w:fldChar w:fldCharType="separate"/>
      </w:r>
      <w:r>
        <w:rPr>
          <w:i w:val="0"/>
          <w:iCs/>
          <w:szCs w:val="22"/>
          <w:lang w:val="ro-RO"/>
        </w:rPr>
        <w:t xml:space="preserve">2.3 </w:t>
      </w:r>
      <w:r>
        <w:rPr>
          <w:szCs w:val="22"/>
          <w:lang w:val="ro-RO"/>
        </w:rPr>
        <w:t>Informații despre beneficiile anticipate de către autoritatea contractantă</w:t>
      </w:r>
      <w:r>
        <w:tab/>
      </w:r>
      <w:r>
        <w:fldChar w:fldCharType="begin"/>
      </w:r>
      <w:r>
        <w:instrText xml:space="preserve"> PAGEREF _Toc20368 \h </w:instrText>
      </w:r>
      <w:r>
        <w:fldChar w:fldCharType="separate"/>
      </w:r>
      <w:r>
        <w:t>6</w:t>
      </w:r>
      <w:r>
        <w:fldChar w:fldCharType="end"/>
      </w:r>
      <w:r>
        <w:rPr>
          <w:bCs/>
          <w:i/>
          <w:iCs/>
          <w:szCs w:val="22"/>
          <w:lang w:val="ro-RO"/>
        </w:rPr>
        <w:fldChar w:fldCharType="end"/>
      </w:r>
    </w:p>
    <w:p w14:paraId="3DEF8165">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_Toc1994 </w:instrText>
      </w:r>
      <w:r>
        <w:rPr>
          <w:bCs/>
          <w:i/>
          <w:iCs/>
          <w:szCs w:val="22"/>
          <w:lang w:val="ro-RO"/>
        </w:rPr>
        <w:fldChar w:fldCharType="separate"/>
      </w:r>
      <w:r>
        <w:rPr>
          <w:i w:val="0"/>
          <w:iCs/>
          <w:szCs w:val="22"/>
          <w:lang w:val="ro-RO"/>
        </w:rPr>
        <w:t xml:space="preserve">2.4 </w:t>
      </w:r>
      <w:r>
        <w:rPr>
          <w:szCs w:val="22"/>
          <w:lang w:val="ro-RO"/>
        </w:rPr>
        <w:t>Alte inițiative/proiecte/programe asociate cu această achiziție de produse</w:t>
      </w:r>
      <w:r>
        <w:tab/>
      </w:r>
      <w:r>
        <w:fldChar w:fldCharType="begin"/>
      </w:r>
      <w:r>
        <w:instrText xml:space="preserve"> PAGEREF _Toc1994 \h </w:instrText>
      </w:r>
      <w:r>
        <w:fldChar w:fldCharType="separate"/>
      </w:r>
      <w:r>
        <w:t>6</w:t>
      </w:r>
      <w:r>
        <w:fldChar w:fldCharType="end"/>
      </w:r>
      <w:r>
        <w:rPr>
          <w:bCs/>
          <w:i/>
          <w:iCs/>
          <w:szCs w:val="22"/>
          <w:lang w:val="ro-RO"/>
        </w:rPr>
        <w:fldChar w:fldCharType="end"/>
      </w:r>
    </w:p>
    <w:p w14:paraId="5FAB3D37">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_Toc27758 </w:instrText>
      </w:r>
      <w:r>
        <w:rPr>
          <w:bCs/>
          <w:i/>
          <w:iCs/>
          <w:szCs w:val="22"/>
          <w:lang w:val="ro-RO"/>
        </w:rPr>
        <w:fldChar w:fldCharType="separate"/>
      </w:r>
      <w:r>
        <w:rPr>
          <w:i w:val="0"/>
          <w:iCs/>
          <w:szCs w:val="22"/>
          <w:lang w:val="ro-RO"/>
        </w:rPr>
        <w:t xml:space="preserve">2.5 </w:t>
      </w:r>
      <w:r>
        <w:rPr>
          <w:szCs w:val="22"/>
          <w:lang w:val="ro-RO"/>
        </w:rPr>
        <w:t>Cadrul general al sectorului în care autoritatea contractantă își desfășoară activitatea</w:t>
      </w:r>
      <w:r>
        <w:tab/>
      </w:r>
      <w:r>
        <w:fldChar w:fldCharType="begin"/>
      </w:r>
      <w:r>
        <w:instrText xml:space="preserve"> PAGEREF _Toc27758 \h </w:instrText>
      </w:r>
      <w:r>
        <w:fldChar w:fldCharType="separate"/>
      </w:r>
      <w:r>
        <w:t>6</w:t>
      </w:r>
      <w:r>
        <w:fldChar w:fldCharType="end"/>
      </w:r>
      <w:r>
        <w:rPr>
          <w:bCs/>
          <w:i/>
          <w:iCs/>
          <w:szCs w:val="22"/>
          <w:lang w:val="ro-RO"/>
        </w:rPr>
        <w:fldChar w:fldCharType="end"/>
      </w:r>
    </w:p>
    <w:p w14:paraId="15D2B1C4">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_Toc8184 </w:instrText>
      </w:r>
      <w:r>
        <w:rPr>
          <w:bCs/>
          <w:i/>
          <w:iCs/>
          <w:szCs w:val="22"/>
          <w:lang w:val="ro-RO"/>
        </w:rPr>
        <w:fldChar w:fldCharType="separate"/>
      </w:r>
      <w:r>
        <w:rPr>
          <w:i w:val="0"/>
          <w:iCs/>
          <w:szCs w:val="22"/>
          <w:lang w:val="ro-RO"/>
        </w:rPr>
        <w:t xml:space="preserve">2.6 </w:t>
      </w:r>
      <w:r>
        <w:rPr>
          <w:szCs w:val="22"/>
          <w:lang w:val="ro-RO"/>
        </w:rPr>
        <w:t>Factori interesați și rolul acestora</w:t>
      </w:r>
      <w:r>
        <w:tab/>
      </w:r>
      <w:r>
        <w:fldChar w:fldCharType="begin"/>
      </w:r>
      <w:r>
        <w:instrText xml:space="preserve"> PAGEREF _Toc8184 \h </w:instrText>
      </w:r>
      <w:r>
        <w:fldChar w:fldCharType="separate"/>
      </w:r>
      <w:r>
        <w:t>6</w:t>
      </w:r>
      <w:r>
        <w:fldChar w:fldCharType="end"/>
      </w:r>
      <w:r>
        <w:rPr>
          <w:bCs/>
          <w:i/>
          <w:iCs/>
          <w:szCs w:val="22"/>
          <w:lang w:val="ro-RO"/>
        </w:rPr>
        <w:fldChar w:fldCharType="end"/>
      </w:r>
    </w:p>
    <w:p w14:paraId="0552CEEE">
      <w:pPr>
        <w:pStyle w:val="20"/>
        <w:tabs>
          <w:tab w:val="right" w:leader="dot" w:pos="9746"/>
          <w:tab w:val="clear" w:pos="450"/>
          <w:tab w:val="clear" w:pos="9394"/>
        </w:tabs>
      </w:pPr>
      <w:r>
        <w:rPr>
          <w:bCs/>
          <w:i/>
          <w:iCs/>
          <w:szCs w:val="22"/>
          <w:lang w:val="ro-RO"/>
        </w:rPr>
        <w:fldChar w:fldCharType="begin"/>
      </w:r>
      <w:r>
        <w:rPr>
          <w:bCs/>
          <w:i/>
          <w:iCs/>
          <w:szCs w:val="22"/>
          <w:lang w:val="ro-RO"/>
        </w:rPr>
        <w:instrText xml:space="preserve"> HYPERLINK \l _Toc1194 </w:instrText>
      </w:r>
      <w:r>
        <w:rPr>
          <w:bCs/>
          <w:i/>
          <w:iCs/>
          <w:szCs w:val="22"/>
          <w:lang w:val="ro-RO"/>
        </w:rPr>
        <w:fldChar w:fldCharType="separate"/>
      </w:r>
      <w:r>
        <w:rPr>
          <w:rFonts w:hint="default"/>
          <w:szCs w:val="22"/>
          <w:lang w:val="ro-RO" w:eastAsia="ro-RO" w:bidi="ro-RO"/>
        </w:rPr>
        <w:t xml:space="preserve">3. </w:t>
      </w:r>
      <w:r>
        <w:rPr>
          <w:szCs w:val="22"/>
          <w:lang w:val="ro-RO" w:eastAsia="ro-RO" w:bidi="ro-RO"/>
        </w:rPr>
        <w:t>Produsele solicitate</w:t>
      </w:r>
      <w:r>
        <w:tab/>
      </w:r>
      <w:r>
        <w:fldChar w:fldCharType="begin"/>
      </w:r>
      <w:r>
        <w:instrText xml:space="preserve"> PAGEREF _Toc1194 \h </w:instrText>
      </w:r>
      <w:r>
        <w:fldChar w:fldCharType="separate"/>
      </w:r>
      <w:r>
        <w:t>7</w:t>
      </w:r>
      <w:r>
        <w:fldChar w:fldCharType="end"/>
      </w:r>
      <w:r>
        <w:rPr>
          <w:bCs/>
          <w:i/>
          <w:iCs/>
          <w:szCs w:val="22"/>
          <w:lang w:val="ro-RO"/>
        </w:rPr>
        <w:fldChar w:fldCharType="end"/>
      </w:r>
    </w:p>
    <w:p w14:paraId="79471F1B">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_Toc11667 </w:instrText>
      </w:r>
      <w:r>
        <w:rPr>
          <w:bCs/>
          <w:i/>
          <w:iCs/>
          <w:szCs w:val="22"/>
          <w:lang w:val="ro-RO"/>
        </w:rPr>
        <w:fldChar w:fldCharType="separate"/>
      </w:r>
      <w:r>
        <w:rPr>
          <w:i w:val="0"/>
          <w:iCs/>
          <w:szCs w:val="22"/>
          <w:lang w:val="ro-RO"/>
        </w:rPr>
        <w:t xml:space="preserve">3.1 </w:t>
      </w:r>
      <w:r>
        <w:rPr>
          <w:szCs w:val="22"/>
          <w:lang w:val="ro-RO"/>
        </w:rPr>
        <w:t>Obiectivul general la care contribuie furnizarea produselor</w:t>
      </w:r>
      <w:r>
        <w:tab/>
      </w:r>
      <w:r>
        <w:fldChar w:fldCharType="begin"/>
      </w:r>
      <w:r>
        <w:instrText xml:space="preserve"> PAGEREF _Toc11667 \h </w:instrText>
      </w:r>
      <w:r>
        <w:fldChar w:fldCharType="separate"/>
      </w:r>
      <w:r>
        <w:t>7</w:t>
      </w:r>
      <w:r>
        <w:fldChar w:fldCharType="end"/>
      </w:r>
      <w:r>
        <w:rPr>
          <w:bCs/>
          <w:i/>
          <w:iCs/>
          <w:szCs w:val="22"/>
          <w:lang w:val="ro-RO"/>
        </w:rPr>
        <w:fldChar w:fldCharType="end"/>
      </w:r>
    </w:p>
    <w:p w14:paraId="2DEB7B33">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_Toc28427 </w:instrText>
      </w:r>
      <w:r>
        <w:rPr>
          <w:bCs/>
          <w:i/>
          <w:iCs/>
          <w:szCs w:val="22"/>
          <w:lang w:val="ro-RO"/>
        </w:rPr>
        <w:fldChar w:fldCharType="separate"/>
      </w:r>
      <w:r>
        <w:rPr>
          <w:i w:val="0"/>
          <w:iCs/>
          <w:szCs w:val="22"/>
          <w:lang w:val="ro-RO"/>
        </w:rPr>
        <w:t xml:space="preserve">3.2 </w:t>
      </w:r>
      <w:r>
        <w:rPr>
          <w:szCs w:val="22"/>
          <w:lang w:val="ro-RO"/>
        </w:rPr>
        <w:t>Obiectivul specific la care contribuie furnizarea produselor</w:t>
      </w:r>
      <w:r>
        <w:tab/>
      </w:r>
      <w:r>
        <w:fldChar w:fldCharType="begin"/>
      </w:r>
      <w:r>
        <w:instrText xml:space="preserve"> PAGEREF _Toc28427 \h </w:instrText>
      </w:r>
      <w:r>
        <w:fldChar w:fldCharType="separate"/>
      </w:r>
      <w:r>
        <w:t>7</w:t>
      </w:r>
      <w:r>
        <w:fldChar w:fldCharType="end"/>
      </w:r>
      <w:r>
        <w:rPr>
          <w:bCs/>
          <w:i/>
          <w:iCs/>
          <w:szCs w:val="22"/>
          <w:lang w:val="ro-RO"/>
        </w:rPr>
        <w:fldChar w:fldCharType="end"/>
      </w:r>
    </w:p>
    <w:p w14:paraId="66870D66">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_Toc29302 </w:instrText>
      </w:r>
      <w:r>
        <w:rPr>
          <w:bCs/>
          <w:i/>
          <w:iCs/>
          <w:szCs w:val="22"/>
          <w:lang w:val="ro-RO"/>
        </w:rPr>
        <w:fldChar w:fldCharType="separate"/>
      </w:r>
      <w:r>
        <w:rPr>
          <w:i w:val="0"/>
          <w:iCs/>
          <w:szCs w:val="22"/>
          <w:lang w:val="ro-RO"/>
        </w:rPr>
        <w:t xml:space="preserve">3.3 </w:t>
      </w:r>
      <w:r>
        <w:rPr>
          <w:szCs w:val="22"/>
          <w:lang w:val="ro-RO"/>
        </w:rPr>
        <w:t>Descrierea produselor solicitate și a operațiunilor cu titlu accesoriu necesar a fi realizate</w:t>
      </w:r>
      <w:r>
        <w:tab/>
      </w:r>
      <w:r>
        <w:fldChar w:fldCharType="begin"/>
      </w:r>
      <w:r>
        <w:instrText xml:space="preserve"> PAGEREF _Toc29302 \h </w:instrText>
      </w:r>
      <w:r>
        <w:fldChar w:fldCharType="separate"/>
      </w:r>
      <w:r>
        <w:t>7</w:t>
      </w:r>
      <w:r>
        <w:fldChar w:fldCharType="end"/>
      </w:r>
      <w:r>
        <w:rPr>
          <w:bCs/>
          <w:i/>
          <w:iCs/>
          <w:szCs w:val="22"/>
          <w:lang w:val="ro-RO"/>
        </w:rPr>
        <w:fldChar w:fldCharType="end"/>
      </w:r>
    </w:p>
    <w:p w14:paraId="3C1A2C00">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_Toc23406 </w:instrText>
      </w:r>
      <w:r>
        <w:rPr>
          <w:bCs/>
          <w:i/>
          <w:iCs/>
          <w:szCs w:val="22"/>
          <w:lang w:val="ro-RO"/>
        </w:rPr>
        <w:fldChar w:fldCharType="separate"/>
      </w:r>
      <w:r>
        <w:rPr>
          <w:rFonts w:hint="default"/>
          <w:bCs w:val="0"/>
          <w:i/>
          <w:iCs/>
          <w:szCs w:val="22"/>
          <w:lang w:val="ro-RO"/>
        </w:rPr>
        <w:t xml:space="preserve">3.3.1 </w:t>
      </w:r>
      <w:r>
        <w:rPr>
          <w:bCs w:val="0"/>
          <w:i/>
          <w:iCs/>
          <w:szCs w:val="22"/>
          <w:lang w:val="ro-RO"/>
        </w:rPr>
        <w:t>Descrierea produselor solicitate și a operațiunilor cu titlu accesoriu necesar a fi realizate</w:t>
      </w:r>
      <w:r>
        <w:tab/>
      </w:r>
      <w:r>
        <w:fldChar w:fldCharType="begin"/>
      </w:r>
      <w:r>
        <w:instrText xml:space="preserve"> PAGEREF _Toc23406 \h </w:instrText>
      </w:r>
      <w:r>
        <w:fldChar w:fldCharType="separate"/>
      </w:r>
      <w:r>
        <w:t>8</w:t>
      </w:r>
      <w:r>
        <w:fldChar w:fldCharType="end"/>
      </w:r>
      <w:r>
        <w:rPr>
          <w:bCs/>
          <w:i/>
          <w:iCs/>
          <w:szCs w:val="22"/>
          <w:lang w:val="ro-RO"/>
        </w:rPr>
        <w:fldChar w:fldCharType="end"/>
      </w:r>
    </w:p>
    <w:p w14:paraId="498A950D">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_Toc9937 </w:instrText>
      </w:r>
      <w:r>
        <w:rPr>
          <w:bCs/>
          <w:i/>
          <w:iCs/>
          <w:szCs w:val="22"/>
          <w:lang w:val="ro-RO"/>
        </w:rPr>
        <w:fldChar w:fldCharType="separate"/>
      </w:r>
      <w:r>
        <w:rPr>
          <w:rFonts w:hint="default"/>
          <w:bCs w:val="0"/>
          <w:i/>
          <w:iCs/>
          <w:szCs w:val="22"/>
          <w:lang w:val="ro-RO"/>
        </w:rPr>
        <w:t xml:space="preserve">3.3.2 </w:t>
      </w:r>
      <w:r>
        <w:rPr>
          <w:bCs w:val="0"/>
          <w:i/>
          <w:iCs/>
          <w:szCs w:val="22"/>
          <w:lang w:val="ro-RO"/>
        </w:rPr>
        <w:t>Timp de funcționare (disponibilitate) a produselor</w:t>
      </w:r>
      <w:r>
        <w:tab/>
      </w:r>
      <w:r>
        <w:fldChar w:fldCharType="begin"/>
      </w:r>
      <w:r>
        <w:instrText xml:space="preserve"> PAGEREF _Toc9937 \h </w:instrText>
      </w:r>
      <w:r>
        <w:fldChar w:fldCharType="separate"/>
      </w:r>
      <w:r>
        <w:t>13</w:t>
      </w:r>
      <w:r>
        <w:fldChar w:fldCharType="end"/>
      </w:r>
      <w:r>
        <w:rPr>
          <w:bCs/>
          <w:i/>
          <w:iCs/>
          <w:szCs w:val="22"/>
          <w:lang w:val="ro-RO"/>
        </w:rPr>
        <w:fldChar w:fldCharType="end"/>
      </w:r>
    </w:p>
    <w:p w14:paraId="1D48B35B">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_Toc20984 </w:instrText>
      </w:r>
      <w:r>
        <w:rPr>
          <w:bCs/>
          <w:i/>
          <w:iCs/>
          <w:szCs w:val="22"/>
          <w:lang w:val="ro-RO"/>
        </w:rPr>
        <w:fldChar w:fldCharType="separate"/>
      </w:r>
      <w:r>
        <w:rPr>
          <w:i w:val="0"/>
          <w:iCs/>
          <w:szCs w:val="22"/>
          <w:lang w:val="ro-RO"/>
        </w:rPr>
        <w:t xml:space="preserve">3.4 </w:t>
      </w:r>
      <w:r>
        <w:rPr>
          <w:szCs w:val="22"/>
          <w:lang w:val="ro-RO"/>
        </w:rPr>
        <w:t>Extensibilitate (dacă este cazul)</w:t>
      </w:r>
      <w:r>
        <w:tab/>
      </w:r>
      <w:r>
        <w:fldChar w:fldCharType="begin"/>
      </w:r>
      <w:r>
        <w:instrText xml:space="preserve"> PAGEREF _Toc20984 \h </w:instrText>
      </w:r>
      <w:r>
        <w:fldChar w:fldCharType="separate"/>
      </w:r>
      <w:r>
        <w:t>13</w:t>
      </w:r>
      <w:r>
        <w:fldChar w:fldCharType="end"/>
      </w:r>
      <w:r>
        <w:rPr>
          <w:bCs/>
          <w:i/>
          <w:iCs/>
          <w:szCs w:val="22"/>
          <w:lang w:val="ro-RO"/>
        </w:rPr>
        <w:fldChar w:fldCharType="end"/>
      </w:r>
    </w:p>
    <w:p w14:paraId="5BF32C96">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_Toc2049 </w:instrText>
      </w:r>
      <w:r>
        <w:rPr>
          <w:bCs/>
          <w:i/>
          <w:iCs/>
          <w:szCs w:val="22"/>
          <w:lang w:val="ro-RO"/>
        </w:rPr>
        <w:fldChar w:fldCharType="separate"/>
      </w:r>
      <w:r>
        <w:rPr>
          <w:i w:val="0"/>
          <w:iCs/>
          <w:szCs w:val="22"/>
          <w:lang w:val="ro-RO"/>
        </w:rPr>
        <w:t xml:space="preserve">3.5 </w:t>
      </w:r>
      <w:r>
        <w:rPr>
          <w:szCs w:val="22"/>
          <w:lang w:val="ro-RO"/>
        </w:rPr>
        <w:t>Furnizarea de produse de generație superioară</w:t>
      </w:r>
      <w:r>
        <w:tab/>
      </w:r>
      <w:r>
        <w:fldChar w:fldCharType="begin"/>
      </w:r>
      <w:r>
        <w:instrText xml:space="preserve"> PAGEREF _Toc2049 \h </w:instrText>
      </w:r>
      <w:r>
        <w:fldChar w:fldCharType="separate"/>
      </w:r>
      <w:r>
        <w:t>13</w:t>
      </w:r>
      <w:r>
        <w:fldChar w:fldCharType="end"/>
      </w:r>
      <w:r>
        <w:rPr>
          <w:bCs/>
          <w:i/>
          <w:iCs/>
          <w:szCs w:val="22"/>
          <w:lang w:val="ro-RO"/>
        </w:rPr>
        <w:fldChar w:fldCharType="end"/>
      </w:r>
    </w:p>
    <w:p w14:paraId="00BE6A92">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_Toc24863 </w:instrText>
      </w:r>
      <w:r>
        <w:rPr>
          <w:bCs/>
          <w:i/>
          <w:iCs/>
          <w:szCs w:val="22"/>
          <w:lang w:val="ro-RO"/>
        </w:rPr>
        <w:fldChar w:fldCharType="separate"/>
      </w:r>
      <w:r>
        <w:rPr>
          <w:i w:val="0"/>
          <w:iCs/>
          <w:szCs w:val="22"/>
          <w:lang w:val="ro-RO"/>
        </w:rPr>
        <w:t xml:space="preserve">3.6 </w:t>
      </w:r>
      <w:r>
        <w:rPr>
          <w:szCs w:val="22"/>
          <w:lang w:val="ro-RO"/>
        </w:rPr>
        <w:t>Garanție</w:t>
      </w:r>
      <w:r>
        <w:tab/>
      </w:r>
      <w:r>
        <w:fldChar w:fldCharType="begin"/>
      </w:r>
      <w:r>
        <w:instrText xml:space="preserve"> PAGEREF _Toc24863 \h </w:instrText>
      </w:r>
      <w:r>
        <w:fldChar w:fldCharType="separate"/>
      </w:r>
      <w:r>
        <w:t>13</w:t>
      </w:r>
      <w:r>
        <w:fldChar w:fldCharType="end"/>
      </w:r>
      <w:r>
        <w:rPr>
          <w:bCs/>
          <w:i/>
          <w:iCs/>
          <w:szCs w:val="22"/>
          <w:lang w:val="ro-RO"/>
        </w:rPr>
        <w:fldChar w:fldCharType="end"/>
      </w:r>
    </w:p>
    <w:p w14:paraId="417BB0CB">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_Toc16134 </w:instrText>
      </w:r>
      <w:r>
        <w:rPr>
          <w:bCs/>
          <w:i/>
          <w:iCs/>
          <w:szCs w:val="22"/>
          <w:lang w:val="ro-RO"/>
        </w:rPr>
        <w:fldChar w:fldCharType="separate"/>
      </w:r>
      <w:r>
        <w:rPr>
          <w:i w:val="0"/>
          <w:iCs/>
          <w:szCs w:val="22"/>
          <w:lang w:val="ro-RO"/>
        </w:rPr>
        <w:t xml:space="preserve">3.7 </w:t>
      </w:r>
      <w:r>
        <w:rPr>
          <w:szCs w:val="22"/>
          <w:lang w:val="ro-RO"/>
        </w:rPr>
        <w:t>Livrare, ambalare, etichetare, transport</w:t>
      </w:r>
      <w:r>
        <w:tab/>
      </w:r>
      <w:r>
        <w:fldChar w:fldCharType="begin"/>
      </w:r>
      <w:r>
        <w:instrText xml:space="preserve"> PAGEREF _Toc16134 \h </w:instrText>
      </w:r>
      <w:r>
        <w:fldChar w:fldCharType="separate"/>
      </w:r>
      <w:r>
        <w:t>14</w:t>
      </w:r>
      <w:r>
        <w:fldChar w:fldCharType="end"/>
      </w:r>
      <w:r>
        <w:rPr>
          <w:bCs/>
          <w:i/>
          <w:iCs/>
          <w:szCs w:val="22"/>
          <w:lang w:val="ro-RO"/>
        </w:rPr>
        <w:fldChar w:fldCharType="end"/>
      </w:r>
    </w:p>
    <w:p w14:paraId="39FD3BF8">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_Toc6332 </w:instrText>
      </w:r>
      <w:r>
        <w:rPr>
          <w:bCs/>
          <w:i/>
          <w:iCs/>
          <w:szCs w:val="22"/>
          <w:lang w:val="ro-RO"/>
        </w:rPr>
        <w:fldChar w:fldCharType="separate"/>
      </w:r>
      <w:r>
        <w:rPr>
          <w:i w:val="0"/>
          <w:iCs/>
          <w:szCs w:val="22"/>
          <w:lang w:val="ro-RO"/>
        </w:rPr>
        <w:t xml:space="preserve">3.8 </w:t>
      </w:r>
      <w:r>
        <w:rPr>
          <w:szCs w:val="22"/>
          <w:lang w:val="ro-RO"/>
        </w:rPr>
        <w:t>Operațiuni cu titlu accesoriu</w:t>
      </w:r>
      <w:r>
        <w:tab/>
      </w:r>
      <w:r>
        <w:fldChar w:fldCharType="begin"/>
      </w:r>
      <w:r>
        <w:instrText xml:space="preserve"> PAGEREF _Toc6332 \h </w:instrText>
      </w:r>
      <w:r>
        <w:fldChar w:fldCharType="separate"/>
      </w:r>
      <w:r>
        <w:t>15</w:t>
      </w:r>
      <w:r>
        <w:fldChar w:fldCharType="end"/>
      </w:r>
      <w:r>
        <w:rPr>
          <w:bCs/>
          <w:i/>
          <w:iCs/>
          <w:szCs w:val="22"/>
          <w:lang w:val="ro-RO"/>
        </w:rPr>
        <w:fldChar w:fldCharType="end"/>
      </w:r>
    </w:p>
    <w:p w14:paraId="1353EDBB">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_Toc25549 </w:instrText>
      </w:r>
      <w:r>
        <w:rPr>
          <w:bCs/>
          <w:i/>
          <w:iCs/>
          <w:szCs w:val="22"/>
          <w:lang w:val="ro-RO"/>
        </w:rPr>
        <w:fldChar w:fldCharType="separate"/>
      </w:r>
      <w:r>
        <w:rPr>
          <w:rFonts w:hint="default"/>
          <w:bCs w:val="0"/>
          <w:i/>
          <w:iCs/>
          <w:szCs w:val="22"/>
          <w:lang w:val="ro-RO"/>
        </w:rPr>
        <w:t xml:space="preserve">3.8.1 </w:t>
      </w:r>
      <w:r>
        <w:rPr>
          <w:bCs w:val="0"/>
          <w:i/>
          <w:iCs/>
          <w:szCs w:val="22"/>
          <w:lang w:val="ro-RO"/>
        </w:rPr>
        <w:t>Instalare, punere în funcțiune, testare</w:t>
      </w:r>
      <w:r>
        <w:tab/>
      </w:r>
      <w:r>
        <w:fldChar w:fldCharType="begin"/>
      </w:r>
      <w:r>
        <w:instrText xml:space="preserve"> PAGEREF _Toc25549 \h </w:instrText>
      </w:r>
      <w:r>
        <w:fldChar w:fldCharType="separate"/>
      </w:r>
      <w:r>
        <w:t>15</w:t>
      </w:r>
      <w:r>
        <w:fldChar w:fldCharType="end"/>
      </w:r>
      <w:r>
        <w:rPr>
          <w:bCs/>
          <w:i/>
          <w:iCs/>
          <w:szCs w:val="22"/>
          <w:lang w:val="ro-RO"/>
        </w:rPr>
        <w:fldChar w:fldCharType="end"/>
      </w:r>
    </w:p>
    <w:p w14:paraId="4CCEE053">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_Toc8882 </w:instrText>
      </w:r>
      <w:r>
        <w:rPr>
          <w:bCs/>
          <w:i/>
          <w:iCs/>
          <w:szCs w:val="22"/>
          <w:lang w:val="ro-RO"/>
        </w:rPr>
        <w:fldChar w:fldCharType="separate"/>
      </w:r>
      <w:r>
        <w:rPr>
          <w:i w:val="0"/>
          <w:iCs/>
          <w:szCs w:val="22"/>
          <w:lang w:val="ro-RO"/>
        </w:rPr>
        <w:t xml:space="preserve">3.9 </w:t>
      </w:r>
      <w:r>
        <w:rPr>
          <w:szCs w:val="22"/>
          <w:lang w:val="ro-RO"/>
        </w:rPr>
        <w:t>Servicii de mentenanță</w:t>
      </w:r>
      <w:r>
        <w:tab/>
      </w:r>
      <w:r>
        <w:fldChar w:fldCharType="begin"/>
      </w:r>
      <w:r>
        <w:instrText xml:space="preserve"> PAGEREF _Toc8882 \h </w:instrText>
      </w:r>
      <w:r>
        <w:fldChar w:fldCharType="separate"/>
      </w:r>
      <w:r>
        <w:t>15</w:t>
      </w:r>
      <w:r>
        <w:fldChar w:fldCharType="end"/>
      </w:r>
      <w:r>
        <w:rPr>
          <w:bCs/>
          <w:i/>
          <w:iCs/>
          <w:szCs w:val="22"/>
          <w:lang w:val="ro-RO"/>
        </w:rPr>
        <w:fldChar w:fldCharType="end"/>
      </w:r>
    </w:p>
    <w:p w14:paraId="0FB664BA">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_Toc19369 </w:instrText>
      </w:r>
      <w:r>
        <w:rPr>
          <w:bCs/>
          <w:i/>
          <w:iCs/>
          <w:szCs w:val="22"/>
          <w:lang w:val="ro-RO"/>
        </w:rPr>
        <w:fldChar w:fldCharType="separate"/>
      </w:r>
      <w:r>
        <w:rPr>
          <w:rFonts w:hint="default"/>
          <w:bCs w:val="0"/>
          <w:i/>
          <w:iCs/>
          <w:szCs w:val="22"/>
          <w:lang w:val="ro-RO"/>
        </w:rPr>
        <w:t xml:space="preserve">3.9.1 </w:t>
      </w:r>
      <w:r>
        <w:rPr>
          <w:bCs w:val="0"/>
          <w:i/>
          <w:iCs/>
          <w:szCs w:val="22"/>
          <w:lang w:val="ro-RO"/>
        </w:rPr>
        <w:t>Mentenanța preventivă în perioada de garanție</w:t>
      </w:r>
      <w:r>
        <w:tab/>
      </w:r>
      <w:r>
        <w:fldChar w:fldCharType="begin"/>
      </w:r>
      <w:r>
        <w:instrText xml:space="preserve"> PAGEREF _Toc19369 \h </w:instrText>
      </w:r>
      <w:r>
        <w:fldChar w:fldCharType="separate"/>
      </w:r>
      <w:r>
        <w:t>15</w:t>
      </w:r>
      <w:r>
        <w:fldChar w:fldCharType="end"/>
      </w:r>
      <w:r>
        <w:rPr>
          <w:bCs/>
          <w:i/>
          <w:iCs/>
          <w:szCs w:val="22"/>
          <w:lang w:val="ro-RO"/>
        </w:rPr>
        <w:fldChar w:fldCharType="end"/>
      </w:r>
    </w:p>
    <w:p w14:paraId="41E7D305">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_Toc3585 </w:instrText>
      </w:r>
      <w:r>
        <w:rPr>
          <w:bCs/>
          <w:i/>
          <w:iCs/>
          <w:szCs w:val="22"/>
          <w:lang w:val="ro-RO"/>
        </w:rPr>
        <w:fldChar w:fldCharType="separate"/>
      </w:r>
      <w:r>
        <w:rPr>
          <w:rFonts w:hint="default"/>
          <w:bCs w:val="0"/>
          <w:i/>
          <w:iCs/>
          <w:szCs w:val="22"/>
          <w:lang w:val="ro-RO"/>
        </w:rPr>
        <w:t xml:space="preserve">3.9.2 </w:t>
      </w:r>
      <w:r>
        <w:rPr>
          <w:bCs w:val="0"/>
          <w:i/>
          <w:iCs/>
          <w:szCs w:val="22"/>
          <w:lang w:val="ro-RO"/>
        </w:rPr>
        <w:t>Mentenanța corectivă în perioada de garanție</w:t>
      </w:r>
      <w:r>
        <w:tab/>
      </w:r>
      <w:r>
        <w:fldChar w:fldCharType="begin"/>
      </w:r>
      <w:r>
        <w:instrText xml:space="preserve"> PAGEREF _Toc3585 \h </w:instrText>
      </w:r>
      <w:r>
        <w:fldChar w:fldCharType="separate"/>
      </w:r>
      <w:r>
        <w:t>16</w:t>
      </w:r>
      <w:r>
        <w:fldChar w:fldCharType="end"/>
      </w:r>
      <w:r>
        <w:rPr>
          <w:bCs/>
          <w:i/>
          <w:iCs/>
          <w:szCs w:val="22"/>
          <w:lang w:val="ro-RO"/>
        </w:rPr>
        <w:fldChar w:fldCharType="end"/>
      </w:r>
    </w:p>
    <w:p w14:paraId="5015B7FE">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_Toc1198 </w:instrText>
      </w:r>
      <w:r>
        <w:rPr>
          <w:bCs/>
          <w:i/>
          <w:iCs/>
          <w:szCs w:val="22"/>
          <w:lang w:val="ro-RO"/>
        </w:rPr>
        <w:fldChar w:fldCharType="separate"/>
      </w:r>
      <w:r>
        <w:rPr>
          <w:rFonts w:hint="default"/>
          <w:bCs w:val="0"/>
          <w:i/>
          <w:iCs/>
          <w:szCs w:val="22"/>
          <w:lang w:val="ro-RO"/>
        </w:rPr>
        <w:t xml:space="preserve">3.9.3 </w:t>
      </w:r>
      <w:r>
        <w:rPr>
          <w:bCs w:val="0"/>
          <w:i/>
          <w:iCs/>
          <w:szCs w:val="22"/>
          <w:lang w:val="ro-RO"/>
        </w:rPr>
        <w:t>Mentenanța evolutivă în perioada de garanție</w:t>
      </w:r>
      <w:r>
        <w:tab/>
      </w:r>
      <w:r>
        <w:fldChar w:fldCharType="begin"/>
      </w:r>
      <w:r>
        <w:instrText xml:space="preserve"> PAGEREF _Toc1198 \h </w:instrText>
      </w:r>
      <w:r>
        <w:fldChar w:fldCharType="separate"/>
      </w:r>
      <w:r>
        <w:t>16</w:t>
      </w:r>
      <w:r>
        <w:fldChar w:fldCharType="end"/>
      </w:r>
      <w:r>
        <w:rPr>
          <w:bCs/>
          <w:i/>
          <w:iCs/>
          <w:szCs w:val="22"/>
          <w:lang w:val="ro-RO"/>
        </w:rPr>
        <w:fldChar w:fldCharType="end"/>
      </w:r>
    </w:p>
    <w:p w14:paraId="0037E955">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_Toc18234 </w:instrText>
      </w:r>
      <w:r>
        <w:rPr>
          <w:bCs/>
          <w:i/>
          <w:iCs/>
          <w:szCs w:val="22"/>
          <w:lang w:val="ro-RO"/>
        </w:rPr>
        <w:fldChar w:fldCharType="separate"/>
      </w:r>
      <w:r>
        <w:rPr>
          <w:i w:val="0"/>
          <w:iCs/>
          <w:szCs w:val="22"/>
          <w:lang w:val="ro-RO"/>
        </w:rPr>
        <w:t xml:space="preserve">3.10 </w:t>
      </w:r>
      <w:r>
        <w:rPr>
          <w:szCs w:val="22"/>
          <w:lang w:val="ro-RO"/>
        </w:rPr>
        <w:t>Suport tehnic</w:t>
      </w:r>
      <w:r>
        <w:tab/>
      </w:r>
      <w:r>
        <w:fldChar w:fldCharType="begin"/>
      </w:r>
      <w:r>
        <w:instrText xml:space="preserve"> PAGEREF _Toc18234 \h </w:instrText>
      </w:r>
      <w:r>
        <w:fldChar w:fldCharType="separate"/>
      </w:r>
      <w:r>
        <w:t>16</w:t>
      </w:r>
      <w:r>
        <w:fldChar w:fldCharType="end"/>
      </w:r>
      <w:r>
        <w:rPr>
          <w:bCs/>
          <w:i/>
          <w:iCs/>
          <w:szCs w:val="22"/>
          <w:lang w:val="ro-RO"/>
        </w:rPr>
        <w:fldChar w:fldCharType="end"/>
      </w:r>
    </w:p>
    <w:p w14:paraId="77609853">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_Toc11468 </w:instrText>
      </w:r>
      <w:r>
        <w:rPr>
          <w:bCs/>
          <w:i/>
          <w:iCs/>
          <w:szCs w:val="22"/>
          <w:lang w:val="ro-RO"/>
        </w:rPr>
        <w:fldChar w:fldCharType="separate"/>
      </w:r>
      <w:r>
        <w:rPr>
          <w:i w:val="0"/>
          <w:iCs/>
          <w:szCs w:val="22"/>
          <w:lang w:val="ro-RO"/>
        </w:rPr>
        <w:t xml:space="preserve">3.11 </w:t>
      </w:r>
      <w:r>
        <w:rPr>
          <w:szCs w:val="22"/>
          <w:lang w:val="ro-RO"/>
        </w:rPr>
        <w:t>Piese de schimb și materiale consumabile pentru activitățile din programul de mentenanță corectiva după expirarea garanției (dacă este cazul)</w:t>
      </w:r>
      <w:r>
        <w:tab/>
      </w:r>
      <w:r>
        <w:fldChar w:fldCharType="begin"/>
      </w:r>
      <w:r>
        <w:instrText xml:space="preserve"> PAGEREF _Toc11468 \h </w:instrText>
      </w:r>
      <w:r>
        <w:fldChar w:fldCharType="separate"/>
      </w:r>
      <w:r>
        <w:t>17</w:t>
      </w:r>
      <w:r>
        <w:fldChar w:fldCharType="end"/>
      </w:r>
      <w:r>
        <w:rPr>
          <w:bCs/>
          <w:i/>
          <w:iCs/>
          <w:szCs w:val="22"/>
          <w:lang w:val="ro-RO"/>
        </w:rPr>
        <w:fldChar w:fldCharType="end"/>
      </w:r>
    </w:p>
    <w:p w14:paraId="1F9F1AD0">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_Toc20901 </w:instrText>
      </w:r>
      <w:r>
        <w:rPr>
          <w:bCs/>
          <w:i/>
          <w:iCs/>
          <w:szCs w:val="22"/>
          <w:lang w:val="ro-RO"/>
        </w:rPr>
        <w:fldChar w:fldCharType="separate"/>
      </w:r>
      <w:r>
        <w:rPr>
          <w:i w:val="0"/>
          <w:iCs/>
          <w:szCs w:val="22"/>
          <w:lang w:val="ro-RO"/>
        </w:rPr>
        <w:t xml:space="preserve">3.12 </w:t>
      </w:r>
      <w:r>
        <w:rPr>
          <w:szCs w:val="22"/>
          <w:lang w:val="ro-RO"/>
        </w:rPr>
        <w:t>Mediul în care este operat produsul</w:t>
      </w:r>
      <w:r>
        <w:tab/>
      </w:r>
      <w:r>
        <w:fldChar w:fldCharType="begin"/>
      </w:r>
      <w:r>
        <w:instrText xml:space="preserve"> PAGEREF _Toc20901 \h </w:instrText>
      </w:r>
      <w:r>
        <w:fldChar w:fldCharType="separate"/>
      </w:r>
      <w:r>
        <w:t>17</w:t>
      </w:r>
      <w:r>
        <w:fldChar w:fldCharType="end"/>
      </w:r>
      <w:r>
        <w:rPr>
          <w:bCs/>
          <w:i/>
          <w:iCs/>
          <w:szCs w:val="22"/>
          <w:lang w:val="ro-RO"/>
        </w:rPr>
        <w:fldChar w:fldCharType="end"/>
      </w:r>
    </w:p>
    <w:p w14:paraId="441B68C1">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_Toc2779 </w:instrText>
      </w:r>
      <w:r>
        <w:rPr>
          <w:bCs/>
          <w:i/>
          <w:iCs/>
          <w:szCs w:val="22"/>
          <w:lang w:val="ro-RO"/>
        </w:rPr>
        <w:fldChar w:fldCharType="separate"/>
      </w:r>
      <w:r>
        <w:rPr>
          <w:i w:val="0"/>
          <w:iCs/>
          <w:szCs w:val="22"/>
          <w:lang w:val="ro-RO"/>
        </w:rPr>
        <w:t xml:space="preserve">3.13 </w:t>
      </w:r>
      <w:r>
        <w:rPr>
          <w:szCs w:val="22"/>
          <w:lang w:val="ro-RO"/>
        </w:rPr>
        <w:t>Constrângeri privind locația unde se va efectua livrarea/instalarea</w:t>
      </w:r>
      <w:r>
        <w:tab/>
      </w:r>
      <w:r>
        <w:fldChar w:fldCharType="begin"/>
      </w:r>
      <w:r>
        <w:instrText xml:space="preserve"> PAGEREF _Toc2779 \h </w:instrText>
      </w:r>
      <w:r>
        <w:fldChar w:fldCharType="separate"/>
      </w:r>
      <w:r>
        <w:t>17</w:t>
      </w:r>
      <w:r>
        <w:fldChar w:fldCharType="end"/>
      </w:r>
      <w:r>
        <w:rPr>
          <w:bCs/>
          <w:i/>
          <w:iCs/>
          <w:szCs w:val="22"/>
          <w:lang w:val="ro-RO"/>
        </w:rPr>
        <w:fldChar w:fldCharType="end"/>
      </w:r>
    </w:p>
    <w:p w14:paraId="3B50AA01">
      <w:pPr>
        <w:pStyle w:val="20"/>
        <w:tabs>
          <w:tab w:val="right" w:leader="dot" w:pos="9746"/>
          <w:tab w:val="clear" w:pos="450"/>
          <w:tab w:val="clear" w:pos="9394"/>
        </w:tabs>
      </w:pPr>
      <w:r>
        <w:rPr>
          <w:bCs/>
          <w:i/>
          <w:iCs/>
          <w:szCs w:val="22"/>
          <w:lang w:val="ro-RO"/>
        </w:rPr>
        <w:fldChar w:fldCharType="begin"/>
      </w:r>
      <w:r>
        <w:rPr>
          <w:bCs/>
          <w:i/>
          <w:iCs/>
          <w:szCs w:val="22"/>
          <w:lang w:val="ro-RO"/>
        </w:rPr>
        <w:instrText xml:space="preserve"> HYPERLINK \l _Toc11940 </w:instrText>
      </w:r>
      <w:r>
        <w:rPr>
          <w:bCs/>
          <w:i/>
          <w:iCs/>
          <w:szCs w:val="22"/>
          <w:lang w:val="ro-RO"/>
        </w:rPr>
        <w:fldChar w:fldCharType="separate"/>
      </w:r>
      <w:r>
        <w:rPr>
          <w:rFonts w:hint="default"/>
          <w:szCs w:val="22"/>
          <w:lang w:val="ro-RO" w:eastAsia="ro-RO" w:bidi="ro-RO"/>
        </w:rPr>
        <w:t xml:space="preserve">4. </w:t>
      </w:r>
      <w:r>
        <w:rPr>
          <w:szCs w:val="22"/>
          <w:lang w:val="ro-RO" w:eastAsia="ro-RO" w:bidi="ro-RO"/>
        </w:rPr>
        <w:t>Atribuții și responsabilitățile părților</w:t>
      </w:r>
      <w:r>
        <w:tab/>
      </w:r>
      <w:r>
        <w:fldChar w:fldCharType="begin"/>
      </w:r>
      <w:r>
        <w:instrText xml:space="preserve"> PAGEREF _Toc11940 \h </w:instrText>
      </w:r>
      <w:r>
        <w:fldChar w:fldCharType="separate"/>
      </w:r>
      <w:r>
        <w:t>17</w:t>
      </w:r>
      <w:r>
        <w:fldChar w:fldCharType="end"/>
      </w:r>
      <w:r>
        <w:rPr>
          <w:bCs/>
          <w:i/>
          <w:iCs/>
          <w:szCs w:val="22"/>
          <w:lang w:val="ro-RO"/>
        </w:rPr>
        <w:fldChar w:fldCharType="end"/>
      </w:r>
    </w:p>
    <w:p w14:paraId="5419A24D">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_Toc16636 </w:instrText>
      </w:r>
      <w:r>
        <w:rPr>
          <w:bCs/>
          <w:i/>
          <w:iCs/>
          <w:szCs w:val="22"/>
          <w:lang w:val="ro-RO"/>
        </w:rPr>
        <w:fldChar w:fldCharType="separate"/>
      </w:r>
      <w:r>
        <w:rPr>
          <w:i w:val="0"/>
          <w:iCs/>
          <w:szCs w:val="22"/>
          <w:lang w:val="ro-RO"/>
        </w:rPr>
        <w:t xml:space="preserve">4.1 </w:t>
      </w:r>
      <w:r>
        <w:rPr>
          <w:szCs w:val="22"/>
          <w:lang w:val="ro-RO"/>
        </w:rPr>
        <w:t>Obligațiile Furnizorului</w:t>
      </w:r>
      <w:r>
        <w:tab/>
      </w:r>
      <w:r>
        <w:fldChar w:fldCharType="begin"/>
      </w:r>
      <w:r>
        <w:instrText xml:space="preserve"> PAGEREF _Toc16636 \h </w:instrText>
      </w:r>
      <w:r>
        <w:fldChar w:fldCharType="separate"/>
      </w:r>
      <w:r>
        <w:t>17</w:t>
      </w:r>
      <w:r>
        <w:fldChar w:fldCharType="end"/>
      </w:r>
      <w:r>
        <w:rPr>
          <w:bCs/>
          <w:i/>
          <w:iCs/>
          <w:szCs w:val="22"/>
          <w:lang w:val="ro-RO"/>
        </w:rPr>
        <w:fldChar w:fldCharType="end"/>
      </w:r>
    </w:p>
    <w:p w14:paraId="126A845B">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_Toc3343 </w:instrText>
      </w:r>
      <w:r>
        <w:rPr>
          <w:bCs/>
          <w:i/>
          <w:iCs/>
          <w:szCs w:val="22"/>
          <w:lang w:val="ro-RO"/>
        </w:rPr>
        <w:fldChar w:fldCharType="separate"/>
      </w:r>
      <w:r>
        <w:rPr>
          <w:i w:val="0"/>
          <w:iCs/>
          <w:szCs w:val="22"/>
          <w:lang w:val="ro-RO"/>
        </w:rPr>
        <w:t xml:space="preserve">4.2 </w:t>
      </w:r>
      <w:r>
        <w:rPr>
          <w:szCs w:val="22"/>
          <w:lang w:val="ro-RO"/>
        </w:rPr>
        <w:t>Obligațiile Autorității Contractante</w:t>
      </w:r>
      <w:r>
        <w:tab/>
      </w:r>
      <w:r>
        <w:fldChar w:fldCharType="begin"/>
      </w:r>
      <w:r>
        <w:instrText xml:space="preserve"> PAGEREF _Toc3343 \h </w:instrText>
      </w:r>
      <w:r>
        <w:fldChar w:fldCharType="separate"/>
      </w:r>
      <w:r>
        <w:t>19</w:t>
      </w:r>
      <w:r>
        <w:fldChar w:fldCharType="end"/>
      </w:r>
      <w:r>
        <w:rPr>
          <w:bCs/>
          <w:i/>
          <w:iCs/>
          <w:szCs w:val="22"/>
          <w:lang w:val="ro-RO"/>
        </w:rPr>
        <w:fldChar w:fldCharType="end"/>
      </w:r>
    </w:p>
    <w:p w14:paraId="3AD33A4B">
      <w:pPr>
        <w:pStyle w:val="20"/>
        <w:tabs>
          <w:tab w:val="right" w:leader="dot" w:pos="9746"/>
          <w:tab w:val="clear" w:pos="450"/>
          <w:tab w:val="clear" w:pos="9394"/>
        </w:tabs>
      </w:pPr>
      <w:r>
        <w:rPr>
          <w:bCs/>
          <w:i/>
          <w:iCs/>
          <w:szCs w:val="22"/>
          <w:lang w:val="ro-RO"/>
        </w:rPr>
        <w:fldChar w:fldCharType="begin"/>
      </w:r>
      <w:r>
        <w:rPr>
          <w:bCs/>
          <w:i/>
          <w:iCs/>
          <w:szCs w:val="22"/>
          <w:lang w:val="ro-RO"/>
        </w:rPr>
        <w:instrText xml:space="preserve"> HYPERLINK \l _Toc27379 </w:instrText>
      </w:r>
      <w:r>
        <w:rPr>
          <w:bCs/>
          <w:i/>
          <w:iCs/>
          <w:szCs w:val="22"/>
          <w:lang w:val="ro-RO"/>
        </w:rPr>
        <w:fldChar w:fldCharType="separate"/>
      </w:r>
      <w:r>
        <w:rPr>
          <w:rFonts w:hint="default"/>
          <w:szCs w:val="22"/>
          <w:lang w:val="ro-RO"/>
        </w:rPr>
        <w:t xml:space="preserve">5. </w:t>
      </w:r>
      <w:r>
        <w:rPr>
          <w:szCs w:val="22"/>
          <w:lang w:val="ro-RO" w:eastAsia="ro-RO" w:bidi="ro-RO"/>
        </w:rPr>
        <w:t>Documentații ce trebuie furnizate autorității contractante în legătură cu produsul</w:t>
      </w:r>
      <w:r>
        <w:tab/>
      </w:r>
      <w:r>
        <w:fldChar w:fldCharType="begin"/>
      </w:r>
      <w:r>
        <w:instrText xml:space="preserve"> PAGEREF _Toc27379 \h </w:instrText>
      </w:r>
      <w:r>
        <w:fldChar w:fldCharType="separate"/>
      </w:r>
      <w:r>
        <w:t>20</w:t>
      </w:r>
      <w:r>
        <w:fldChar w:fldCharType="end"/>
      </w:r>
      <w:r>
        <w:rPr>
          <w:bCs/>
          <w:i/>
          <w:iCs/>
          <w:szCs w:val="22"/>
          <w:lang w:val="ro-RO"/>
        </w:rPr>
        <w:fldChar w:fldCharType="end"/>
      </w:r>
    </w:p>
    <w:p w14:paraId="4047DA4F">
      <w:pPr>
        <w:pStyle w:val="20"/>
        <w:tabs>
          <w:tab w:val="right" w:leader="dot" w:pos="9746"/>
          <w:tab w:val="clear" w:pos="450"/>
          <w:tab w:val="clear" w:pos="9394"/>
        </w:tabs>
      </w:pPr>
      <w:r>
        <w:rPr>
          <w:bCs/>
          <w:i/>
          <w:iCs/>
          <w:szCs w:val="22"/>
          <w:lang w:val="ro-RO"/>
        </w:rPr>
        <w:fldChar w:fldCharType="begin"/>
      </w:r>
      <w:r>
        <w:rPr>
          <w:bCs/>
          <w:i/>
          <w:iCs/>
          <w:szCs w:val="22"/>
          <w:lang w:val="ro-RO"/>
        </w:rPr>
        <w:instrText xml:space="preserve"> HYPERLINK \l _Toc26788 </w:instrText>
      </w:r>
      <w:r>
        <w:rPr>
          <w:bCs/>
          <w:i/>
          <w:iCs/>
          <w:szCs w:val="22"/>
          <w:lang w:val="ro-RO"/>
        </w:rPr>
        <w:fldChar w:fldCharType="separate"/>
      </w:r>
      <w:r>
        <w:rPr>
          <w:rFonts w:hint="default"/>
          <w:szCs w:val="22"/>
          <w:lang w:val="ro-RO"/>
        </w:rPr>
        <w:t xml:space="preserve">6. </w:t>
      </w:r>
      <w:r>
        <w:rPr>
          <w:szCs w:val="22"/>
          <w:lang w:val="ro-RO" w:eastAsia="ro-RO" w:bidi="ro-RO"/>
        </w:rPr>
        <w:t>Recepția produselor</w:t>
      </w:r>
      <w:r>
        <w:tab/>
      </w:r>
      <w:r>
        <w:fldChar w:fldCharType="begin"/>
      </w:r>
      <w:r>
        <w:instrText xml:space="preserve"> PAGEREF _Toc26788 \h </w:instrText>
      </w:r>
      <w:r>
        <w:fldChar w:fldCharType="separate"/>
      </w:r>
      <w:r>
        <w:t>20</w:t>
      </w:r>
      <w:r>
        <w:fldChar w:fldCharType="end"/>
      </w:r>
      <w:r>
        <w:rPr>
          <w:bCs/>
          <w:i/>
          <w:iCs/>
          <w:szCs w:val="22"/>
          <w:lang w:val="ro-RO"/>
        </w:rPr>
        <w:fldChar w:fldCharType="end"/>
      </w:r>
    </w:p>
    <w:p w14:paraId="111747E0">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_Toc20585 </w:instrText>
      </w:r>
      <w:r>
        <w:rPr>
          <w:bCs/>
          <w:i/>
          <w:iCs/>
          <w:szCs w:val="22"/>
          <w:lang w:val="ro-RO"/>
        </w:rPr>
        <w:fldChar w:fldCharType="separate"/>
      </w:r>
      <w:r>
        <w:rPr>
          <w:i w:val="0"/>
          <w:iCs/>
          <w:szCs w:val="22"/>
          <w:lang w:val="ro-RO"/>
        </w:rPr>
        <w:t xml:space="preserve">6.1 </w:t>
      </w:r>
      <w:r>
        <w:rPr>
          <w:szCs w:val="22"/>
          <w:lang w:val="ro-RO"/>
        </w:rPr>
        <w:t>Recepția produselor</w:t>
      </w:r>
      <w:r>
        <w:tab/>
      </w:r>
      <w:r>
        <w:fldChar w:fldCharType="begin"/>
      </w:r>
      <w:r>
        <w:instrText xml:space="preserve"> PAGEREF _Toc20585 \h </w:instrText>
      </w:r>
      <w:r>
        <w:fldChar w:fldCharType="separate"/>
      </w:r>
      <w:r>
        <w:t>20</w:t>
      </w:r>
      <w:r>
        <w:fldChar w:fldCharType="end"/>
      </w:r>
      <w:r>
        <w:rPr>
          <w:bCs/>
          <w:i/>
          <w:iCs/>
          <w:szCs w:val="22"/>
          <w:lang w:val="ro-RO"/>
        </w:rPr>
        <w:fldChar w:fldCharType="end"/>
      </w:r>
    </w:p>
    <w:p w14:paraId="352E9E34">
      <w:pPr>
        <w:pStyle w:val="21"/>
        <w:tabs>
          <w:tab w:val="right" w:leader="dot" w:pos="9746"/>
          <w:tab w:val="clear" w:pos="810"/>
          <w:tab w:val="clear" w:pos="9394"/>
        </w:tabs>
      </w:pPr>
      <w:r>
        <w:rPr>
          <w:bCs/>
          <w:i/>
          <w:iCs/>
          <w:szCs w:val="22"/>
          <w:lang w:val="ro-RO"/>
        </w:rPr>
        <w:fldChar w:fldCharType="begin"/>
      </w:r>
      <w:r>
        <w:rPr>
          <w:bCs/>
          <w:i/>
          <w:iCs/>
          <w:szCs w:val="22"/>
          <w:lang w:val="ro-RO"/>
        </w:rPr>
        <w:instrText xml:space="preserve"> HYPERLINK \l _Toc16831 </w:instrText>
      </w:r>
      <w:r>
        <w:rPr>
          <w:bCs/>
          <w:i/>
          <w:iCs/>
          <w:szCs w:val="22"/>
          <w:lang w:val="ro-RO"/>
        </w:rPr>
        <w:fldChar w:fldCharType="separate"/>
      </w:r>
      <w:r>
        <w:rPr>
          <w:i w:val="0"/>
          <w:iCs/>
          <w:szCs w:val="22"/>
          <w:lang w:val="ro-RO"/>
        </w:rPr>
        <w:t xml:space="preserve">6.2 </w:t>
      </w:r>
      <w:r>
        <w:rPr>
          <w:szCs w:val="22"/>
          <w:lang w:val="ro-RO"/>
        </w:rPr>
        <w:t>Reguli privind modificarea contractului</w:t>
      </w:r>
      <w:r>
        <w:tab/>
      </w:r>
      <w:r>
        <w:fldChar w:fldCharType="begin"/>
      </w:r>
      <w:r>
        <w:instrText xml:space="preserve"> PAGEREF _Toc16831 \h </w:instrText>
      </w:r>
      <w:r>
        <w:fldChar w:fldCharType="separate"/>
      </w:r>
      <w:r>
        <w:t>21</w:t>
      </w:r>
      <w:r>
        <w:fldChar w:fldCharType="end"/>
      </w:r>
      <w:r>
        <w:rPr>
          <w:bCs/>
          <w:i/>
          <w:iCs/>
          <w:szCs w:val="22"/>
          <w:lang w:val="ro-RO"/>
        </w:rPr>
        <w:fldChar w:fldCharType="end"/>
      </w:r>
    </w:p>
    <w:p w14:paraId="2076BDD6">
      <w:pPr>
        <w:pStyle w:val="20"/>
        <w:tabs>
          <w:tab w:val="right" w:leader="dot" w:pos="9746"/>
          <w:tab w:val="clear" w:pos="450"/>
          <w:tab w:val="clear" w:pos="9394"/>
        </w:tabs>
      </w:pPr>
      <w:r>
        <w:rPr>
          <w:bCs/>
          <w:i/>
          <w:iCs/>
          <w:szCs w:val="22"/>
          <w:lang w:val="ro-RO"/>
        </w:rPr>
        <w:fldChar w:fldCharType="begin"/>
      </w:r>
      <w:r>
        <w:rPr>
          <w:bCs/>
          <w:i/>
          <w:iCs/>
          <w:szCs w:val="22"/>
          <w:lang w:val="ro-RO"/>
        </w:rPr>
        <w:instrText xml:space="preserve"> HYPERLINK \l _Toc21053 </w:instrText>
      </w:r>
      <w:r>
        <w:rPr>
          <w:bCs/>
          <w:i/>
          <w:iCs/>
          <w:szCs w:val="22"/>
          <w:lang w:val="ro-RO"/>
        </w:rPr>
        <w:fldChar w:fldCharType="separate"/>
      </w:r>
      <w:r>
        <w:rPr>
          <w:rFonts w:hint="default"/>
          <w:szCs w:val="22"/>
          <w:lang w:val="ro-RO"/>
        </w:rPr>
        <w:t xml:space="preserve">7. </w:t>
      </w:r>
      <w:r>
        <w:rPr>
          <w:szCs w:val="22"/>
          <w:lang w:val="ro-RO" w:eastAsia="ro-RO" w:bidi="ro-RO"/>
        </w:rPr>
        <w:t>Modalități și condiții de plată</w:t>
      </w:r>
      <w:r>
        <w:tab/>
      </w:r>
      <w:r>
        <w:fldChar w:fldCharType="begin"/>
      </w:r>
      <w:r>
        <w:instrText xml:space="preserve"> PAGEREF _Toc21053 \h </w:instrText>
      </w:r>
      <w:r>
        <w:fldChar w:fldCharType="separate"/>
      </w:r>
      <w:r>
        <w:t>22</w:t>
      </w:r>
      <w:r>
        <w:fldChar w:fldCharType="end"/>
      </w:r>
      <w:r>
        <w:rPr>
          <w:bCs/>
          <w:i/>
          <w:iCs/>
          <w:szCs w:val="22"/>
          <w:lang w:val="ro-RO"/>
        </w:rPr>
        <w:fldChar w:fldCharType="end"/>
      </w:r>
    </w:p>
    <w:p w14:paraId="5D9D096E">
      <w:pPr>
        <w:pStyle w:val="20"/>
        <w:tabs>
          <w:tab w:val="right" w:leader="dot" w:pos="9746"/>
          <w:tab w:val="clear" w:pos="450"/>
          <w:tab w:val="clear" w:pos="9394"/>
        </w:tabs>
      </w:pPr>
      <w:r>
        <w:rPr>
          <w:bCs/>
          <w:i/>
          <w:iCs/>
          <w:szCs w:val="22"/>
          <w:lang w:val="ro-RO"/>
        </w:rPr>
        <w:fldChar w:fldCharType="begin"/>
      </w:r>
      <w:r>
        <w:rPr>
          <w:bCs/>
          <w:i/>
          <w:iCs/>
          <w:szCs w:val="22"/>
          <w:lang w:val="ro-RO"/>
        </w:rPr>
        <w:instrText xml:space="preserve"> HYPERLINK \l _Toc6127 </w:instrText>
      </w:r>
      <w:r>
        <w:rPr>
          <w:bCs/>
          <w:i/>
          <w:iCs/>
          <w:szCs w:val="22"/>
          <w:lang w:val="ro-RO"/>
        </w:rPr>
        <w:fldChar w:fldCharType="separate"/>
      </w:r>
      <w:r>
        <w:rPr>
          <w:rFonts w:hint="default"/>
          <w:szCs w:val="22"/>
          <w:lang w:val="ro-RO"/>
        </w:rPr>
        <w:t xml:space="preserve">8. </w:t>
      </w:r>
      <w:r>
        <w:rPr>
          <w:szCs w:val="22"/>
          <w:lang w:val="ro-RO" w:eastAsia="ro-RO" w:bidi="ro-RO"/>
        </w:rPr>
        <w:t>Cadrul legal care guvernează relația dintre autoritatea contractantă și contractant (inclusiv în domeniile mediului, social și al relațiilor de muncă)</w:t>
      </w:r>
      <w:r>
        <w:tab/>
      </w:r>
      <w:r>
        <w:fldChar w:fldCharType="begin"/>
      </w:r>
      <w:r>
        <w:instrText xml:space="preserve"> PAGEREF _Toc6127 \h </w:instrText>
      </w:r>
      <w:r>
        <w:fldChar w:fldCharType="separate"/>
      </w:r>
      <w:r>
        <w:t>22</w:t>
      </w:r>
      <w:r>
        <w:fldChar w:fldCharType="end"/>
      </w:r>
      <w:r>
        <w:rPr>
          <w:bCs/>
          <w:i/>
          <w:iCs/>
          <w:szCs w:val="22"/>
          <w:lang w:val="ro-RO"/>
        </w:rPr>
        <w:fldChar w:fldCharType="end"/>
      </w:r>
    </w:p>
    <w:p w14:paraId="75E8A720">
      <w:pPr>
        <w:pStyle w:val="20"/>
        <w:tabs>
          <w:tab w:val="right" w:leader="dot" w:pos="9746"/>
          <w:tab w:val="clear" w:pos="450"/>
          <w:tab w:val="clear" w:pos="9394"/>
        </w:tabs>
      </w:pPr>
      <w:r>
        <w:rPr>
          <w:bCs/>
          <w:i/>
          <w:iCs/>
          <w:szCs w:val="22"/>
          <w:lang w:val="ro-RO"/>
        </w:rPr>
        <w:fldChar w:fldCharType="begin"/>
      </w:r>
      <w:r>
        <w:rPr>
          <w:bCs/>
          <w:i/>
          <w:iCs/>
          <w:szCs w:val="22"/>
          <w:lang w:val="ro-RO"/>
        </w:rPr>
        <w:instrText xml:space="preserve"> HYPERLINK \l _Toc13127 </w:instrText>
      </w:r>
      <w:r>
        <w:rPr>
          <w:bCs/>
          <w:i/>
          <w:iCs/>
          <w:szCs w:val="22"/>
          <w:lang w:val="ro-RO"/>
        </w:rPr>
        <w:fldChar w:fldCharType="separate"/>
      </w:r>
      <w:r>
        <w:rPr>
          <w:rFonts w:hint="default"/>
          <w:szCs w:val="22"/>
          <w:lang w:val="ro-RO"/>
        </w:rPr>
        <w:t xml:space="preserve">9. </w:t>
      </w:r>
      <w:r>
        <w:rPr>
          <w:szCs w:val="22"/>
          <w:lang w:val="ro-RO" w:eastAsia="ro-RO" w:bidi="ro-RO"/>
        </w:rPr>
        <w:t>Managementul/Gestionarea Contractului și activități de raportare în cadrul Contractului</w:t>
      </w:r>
      <w:r>
        <w:tab/>
      </w:r>
      <w:r>
        <w:fldChar w:fldCharType="begin"/>
      </w:r>
      <w:r>
        <w:instrText xml:space="preserve"> PAGEREF _Toc13127 \h </w:instrText>
      </w:r>
      <w:r>
        <w:fldChar w:fldCharType="separate"/>
      </w:r>
      <w:r>
        <w:t>24</w:t>
      </w:r>
      <w:r>
        <w:fldChar w:fldCharType="end"/>
      </w:r>
      <w:r>
        <w:rPr>
          <w:bCs/>
          <w:i/>
          <w:iCs/>
          <w:szCs w:val="22"/>
          <w:lang w:val="ro-RO"/>
        </w:rPr>
        <w:fldChar w:fldCharType="end"/>
      </w:r>
    </w:p>
    <w:p w14:paraId="50A00FF7">
      <w:pPr>
        <w:pStyle w:val="20"/>
        <w:tabs>
          <w:tab w:val="right" w:leader="dot" w:pos="9746"/>
          <w:tab w:val="clear" w:pos="450"/>
          <w:tab w:val="clear" w:pos="9394"/>
        </w:tabs>
      </w:pPr>
      <w:r>
        <w:rPr>
          <w:bCs/>
          <w:i/>
          <w:iCs/>
          <w:szCs w:val="22"/>
          <w:lang w:val="ro-RO"/>
        </w:rPr>
        <w:fldChar w:fldCharType="begin"/>
      </w:r>
      <w:r>
        <w:rPr>
          <w:bCs/>
          <w:i/>
          <w:iCs/>
          <w:szCs w:val="22"/>
          <w:lang w:val="ro-RO"/>
        </w:rPr>
        <w:instrText xml:space="preserve"> HYPERLINK \l _Toc26153 </w:instrText>
      </w:r>
      <w:r>
        <w:rPr>
          <w:bCs/>
          <w:i/>
          <w:iCs/>
          <w:szCs w:val="22"/>
          <w:lang w:val="ro-RO"/>
        </w:rPr>
        <w:fldChar w:fldCharType="separate"/>
      </w:r>
      <w:r>
        <w:rPr>
          <w:rFonts w:hint="default"/>
          <w:szCs w:val="22"/>
          <w:lang w:val="ro-RO"/>
        </w:rPr>
        <w:t xml:space="preserve">10. </w:t>
      </w:r>
      <w:r>
        <w:rPr>
          <w:szCs w:val="22"/>
          <w:lang w:val="ro-RO" w:eastAsia="ro-RO" w:bidi="ro-RO"/>
        </w:rPr>
        <w:t>Evaluarea performanței contractului</w:t>
      </w:r>
      <w:r>
        <w:tab/>
      </w:r>
      <w:r>
        <w:fldChar w:fldCharType="begin"/>
      </w:r>
      <w:r>
        <w:instrText xml:space="preserve"> PAGEREF _Toc26153 \h </w:instrText>
      </w:r>
      <w:r>
        <w:fldChar w:fldCharType="separate"/>
      </w:r>
      <w:r>
        <w:t>25</w:t>
      </w:r>
      <w:r>
        <w:fldChar w:fldCharType="end"/>
      </w:r>
      <w:r>
        <w:rPr>
          <w:bCs/>
          <w:i/>
          <w:iCs/>
          <w:szCs w:val="22"/>
          <w:lang w:val="ro-RO"/>
        </w:rPr>
        <w:fldChar w:fldCharType="end"/>
      </w:r>
    </w:p>
    <w:p w14:paraId="4A93BAA3">
      <w:pPr>
        <w:pStyle w:val="20"/>
        <w:tabs>
          <w:tab w:val="right" w:leader="dot" w:pos="9746"/>
          <w:tab w:val="clear" w:pos="450"/>
          <w:tab w:val="clear" w:pos="9394"/>
        </w:tabs>
      </w:pPr>
      <w:r>
        <w:rPr>
          <w:bCs/>
          <w:i/>
          <w:iCs/>
          <w:szCs w:val="22"/>
          <w:lang w:val="ro-RO"/>
        </w:rPr>
        <w:fldChar w:fldCharType="begin"/>
      </w:r>
      <w:r>
        <w:rPr>
          <w:bCs/>
          <w:i/>
          <w:iCs/>
          <w:szCs w:val="22"/>
          <w:lang w:val="ro-RO"/>
        </w:rPr>
        <w:instrText xml:space="preserve"> HYPERLINK \l _Toc8244 </w:instrText>
      </w:r>
      <w:r>
        <w:rPr>
          <w:bCs/>
          <w:i/>
          <w:iCs/>
          <w:szCs w:val="22"/>
          <w:lang w:val="ro-RO"/>
        </w:rPr>
        <w:fldChar w:fldCharType="separate"/>
      </w:r>
      <w:r>
        <w:rPr>
          <w:rFonts w:hint="default"/>
          <w:szCs w:val="22"/>
          <w:lang w:val="ro-RO"/>
        </w:rPr>
        <w:t xml:space="preserve">11. </w:t>
      </w:r>
      <w:r>
        <w:rPr>
          <w:szCs w:val="22"/>
          <w:lang w:val="ro-RO" w:eastAsia="ro-RO" w:bidi="ro-RO"/>
        </w:rPr>
        <w:t>Dispoziții tranzitorii și finale</w:t>
      </w:r>
      <w:r>
        <w:tab/>
      </w:r>
      <w:r>
        <w:fldChar w:fldCharType="begin"/>
      </w:r>
      <w:r>
        <w:instrText xml:space="preserve"> PAGEREF _Toc8244 \h </w:instrText>
      </w:r>
      <w:r>
        <w:fldChar w:fldCharType="separate"/>
      </w:r>
      <w:r>
        <w:t>25</w:t>
      </w:r>
      <w:r>
        <w:fldChar w:fldCharType="end"/>
      </w:r>
      <w:r>
        <w:rPr>
          <w:bCs/>
          <w:i/>
          <w:iCs/>
          <w:szCs w:val="22"/>
          <w:lang w:val="ro-RO"/>
        </w:rPr>
        <w:fldChar w:fldCharType="end"/>
      </w:r>
    </w:p>
    <w:p w14:paraId="070B753B">
      <w:pPr>
        <w:pStyle w:val="20"/>
        <w:tabs>
          <w:tab w:val="right" w:leader="dot" w:pos="9746"/>
          <w:tab w:val="clear" w:pos="450"/>
          <w:tab w:val="clear" w:pos="9394"/>
        </w:tabs>
      </w:pPr>
      <w:r>
        <w:rPr>
          <w:bCs/>
          <w:i/>
          <w:iCs/>
          <w:szCs w:val="22"/>
          <w:lang w:val="ro-RO"/>
        </w:rPr>
        <w:fldChar w:fldCharType="begin"/>
      </w:r>
      <w:r>
        <w:rPr>
          <w:bCs/>
          <w:i/>
          <w:iCs/>
          <w:szCs w:val="22"/>
          <w:lang w:val="ro-RO"/>
        </w:rPr>
        <w:instrText xml:space="preserve"> HYPERLINK \l _Toc5547 </w:instrText>
      </w:r>
      <w:r>
        <w:rPr>
          <w:bCs/>
          <w:i/>
          <w:iCs/>
          <w:szCs w:val="22"/>
          <w:lang w:val="ro-RO"/>
        </w:rPr>
        <w:fldChar w:fldCharType="separate"/>
      </w:r>
      <w:r>
        <w:rPr>
          <w:rFonts w:hint="default"/>
          <w:szCs w:val="22"/>
          <w:lang w:val="ro-RO"/>
        </w:rPr>
        <w:t xml:space="preserve">12. </w:t>
      </w:r>
      <w:r>
        <w:rPr>
          <w:szCs w:val="22"/>
          <w:lang w:val="ro-RO" w:eastAsia="ro-RO" w:bidi="ro-RO"/>
        </w:rPr>
        <w:t>Anexe</w:t>
      </w:r>
      <w:r>
        <w:tab/>
      </w:r>
      <w:r>
        <w:fldChar w:fldCharType="begin"/>
      </w:r>
      <w:r>
        <w:instrText xml:space="preserve"> PAGEREF _Toc5547 \h </w:instrText>
      </w:r>
      <w:r>
        <w:fldChar w:fldCharType="separate"/>
      </w:r>
      <w:r>
        <w:t>26</w:t>
      </w:r>
      <w:r>
        <w:fldChar w:fldCharType="end"/>
      </w:r>
      <w:r>
        <w:rPr>
          <w:bCs/>
          <w:i/>
          <w:iCs/>
          <w:szCs w:val="22"/>
          <w:lang w:val="ro-RO"/>
        </w:rPr>
        <w:fldChar w:fldCharType="end"/>
      </w:r>
    </w:p>
    <w:p w14:paraId="196057B1">
      <w:pPr>
        <w:spacing w:before="240" w:after="240"/>
        <w:jc w:val="both"/>
        <w:rPr>
          <w:b/>
          <w:bCs/>
          <w:i/>
          <w:iCs/>
          <w:lang w:val="ro-RO"/>
        </w:rPr>
      </w:pPr>
      <w:r>
        <w:rPr>
          <w:bCs/>
          <w:i/>
          <w:iCs/>
          <w:szCs w:val="22"/>
          <w:lang w:val="ro-RO"/>
        </w:rPr>
        <w:fldChar w:fldCharType="end"/>
      </w:r>
    </w:p>
    <w:p w14:paraId="2010F1A0">
      <w:pPr>
        <w:spacing w:after="160"/>
        <w:rPr>
          <w:b/>
          <w:bCs/>
          <w:i/>
          <w:iCs/>
          <w:lang w:val="ro-RO"/>
        </w:rPr>
      </w:pPr>
      <w:r>
        <w:rPr>
          <w:b/>
          <w:bCs/>
          <w:i/>
          <w:iCs/>
          <w:lang w:val="ro-RO"/>
        </w:rPr>
        <w:br w:type="page"/>
      </w:r>
    </w:p>
    <w:p w14:paraId="6B80C806">
      <w:pPr>
        <w:pStyle w:val="2"/>
        <w:spacing w:before="120" w:after="120" w:line="240" w:lineRule="auto"/>
        <w:contextualSpacing w:val="0"/>
        <w:rPr>
          <w:sz w:val="22"/>
          <w:szCs w:val="22"/>
          <w:lang w:val="ro-RO"/>
        </w:rPr>
      </w:pPr>
      <w:bookmarkStart w:id="0" w:name="_Toc1108"/>
      <w:r>
        <w:rPr>
          <w:sz w:val="22"/>
          <w:szCs w:val="22"/>
          <w:lang w:val="ro-RO"/>
        </w:rPr>
        <w:t>Introducere</w:t>
      </w:r>
      <w:bookmarkEnd w:id="0"/>
    </w:p>
    <w:p w14:paraId="4686798D">
      <w:pPr>
        <w:pStyle w:val="28"/>
        <w:shd w:val="clear" w:color="auto" w:fill="auto"/>
        <w:spacing w:before="120" w:after="120" w:line="240" w:lineRule="auto"/>
        <w:ind w:right="20" w:firstLine="0"/>
        <w:rPr>
          <w:spacing w:val="-6"/>
          <w:sz w:val="22"/>
          <w:szCs w:val="22"/>
        </w:rPr>
      </w:pPr>
      <w:r>
        <w:rPr>
          <w:spacing w:val="-6"/>
          <w:sz w:val="22"/>
          <w:szCs w:val="22"/>
        </w:rPr>
        <w:t xml:space="preserve">În cadrul acestei proceduri, Municipiul Slobozia, îndeplinește rolul de </w:t>
      </w:r>
      <w:r>
        <w:rPr>
          <w:i/>
          <w:iCs/>
          <w:spacing w:val="-6"/>
          <w:sz w:val="22"/>
          <w:szCs w:val="22"/>
        </w:rPr>
        <w:t>Autoritate Contractantă</w:t>
      </w:r>
      <w:r>
        <w:rPr>
          <w:spacing w:val="-6"/>
          <w:sz w:val="22"/>
          <w:szCs w:val="22"/>
        </w:rPr>
        <w:t>, respectiv Achizitor în cadrul Contractului.</w:t>
      </w:r>
    </w:p>
    <w:p w14:paraId="2FF1FB4D">
      <w:pPr>
        <w:pStyle w:val="28"/>
        <w:shd w:val="clear" w:color="auto" w:fill="auto"/>
        <w:spacing w:before="120" w:after="120" w:line="240" w:lineRule="auto"/>
        <w:ind w:right="20" w:firstLine="0"/>
        <w:rPr>
          <w:spacing w:val="-6"/>
          <w:sz w:val="22"/>
          <w:szCs w:val="22"/>
        </w:rPr>
      </w:pPr>
      <w:r>
        <w:rPr>
          <w:spacing w:val="-6"/>
          <w:sz w:val="22"/>
          <w:szCs w:val="22"/>
        </w:rPr>
        <w:t>Caietul de sarcini face parte integrantă din documentația de atribuire și constituie ansamblul cerințelor pe baza cărora se elaborează de către fiecare ofertant propunerea tehnică.</w:t>
      </w:r>
    </w:p>
    <w:p w14:paraId="71429415">
      <w:pPr>
        <w:pStyle w:val="28"/>
        <w:shd w:val="clear" w:color="auto" w:fill="auto"/>
        <w:spacing w:before="120" w:after="120" w:line="240" w:lineRule="auto"/>
        <w:ind w:right="20" w:firstLine="0"/>
        <w:rPr>
          <w:spacing w:val="-6"/>
          <w:sz w:val="22"/>
          <w:szCs w:val="22"/>
        </w:rPr>
      </w:pPr>
      <w:r>
        <w:rPr>
          <w:spacing w:val="-6"/>
          <w:sz w:val="22"/>
          <w:szCs w:val="22"/>
        </w:rPr>
        <w:t xml:space="preserve">Caietul de sarcini conține, în mod obligatoriu, specificații tehnice. Acestea </w:t>
      </w:r>
      <w:r>
        <w:rPr>
          <w:spacing w:val="-6"/>
          <w:sz w:val="22"/>
          <w:szCs w:val="22"/>
          <w:lang w:eastAsia="es-ES" w:bidi="es-ES"/>
        </w:rPr>
        <w:t xml:space="preserve">definesc, </w:t>
      </w:r>
      <w:r>
        <w:rPr>
          <w:spacing w:val="-6"/>
          <w:sz w:val="22"/>
          <w:szCs w:val="22"/>
        </w:rPr>
        <w:t>după caz, și fără a se limita la cele ce urmează, caracteristici referitoare la nivelul calitativ, tehnic și de performanță, siguranța în exploatare, dimensiuni, precum și sisteme de asigurare a calității, terminologie, simboluri, teste și metode de testare, ambalare, etichetare, marcare, condițiile pentru certificarea conformității cu standarde relevante sau altele asemenea.</w:t>
      </w:r>
    </w:p>
    <w:p w14:paraId="2237E50A">
      <w:pPr>
        <w:pStyle w:val="28"/>
        <w:shd w:val="clear" w:color="auto" w:fill="auto"/>
        <w:spacing w:before="120" w:after="120" w:line="240" w:lineRule="auto"/>
        <w:ind w:firstLine="0"/>
        <w:rPr>
          <w:spacing w:val="-6"/>
          <w:sz w:val="22"/>
          <w:szCs w:val="22"/>
        </w:rPr>
      </w:pPr>
      <w:r>
        <w:rPr>
          <w:spacing w:val="-6"/>
          <w:sz w:val="22"/>
          <w:szCs w:val="22"/>
        </w:rPr>
        <w:t>Cerințele impuse vor fi considerate ca fiind minimale și obligatorii.</w:t>
      </w:r>
    </w:p>
    <w:p w14:paraId="555A6A67">
      <w:pPr>
        <w:pStyle w:val="28"/>
        <w:shd w:val="clear" w:color="auto" w:fill="auto"/>
        <w:spacing w:before="120" w:after="120" w:line="240" w:lineRule="auto"/>
        <w:ind w:firstLine="0"/>
        <w:rPr>
          <w:spacing w:val="-6"/>
          <w:sz w:val="22"/>
          <w:szCs w:val="22"/>
        </w:rPr>
      </w:pPr>
      <w:r>
        <w:rPr>
          <w:spacing w:val="-6"/>
          <w:sz w:val="22"/>
          <w:szCs w:val="22"/>
        </w:rPr>
        <w:t>Ofertele ce nu îndeplinesc toate cerințele tehnice obligatorii și minimale vor fi respinse.</w:t>
      </w:r>
    </w:p>
    <w:p w14:paraId="08B0CCFC">
      <w:pPr>
        <w:pStyle w:val="28"/>
        <w:shd w:val="clear" w:color="auto" w:fill="auto"/>
        <w:spacing w:before="120" w:after="120" w:line="240" w:lineRule="auto"/>
        <w:ind w:right="20" w:firstLine="0"/>
        <w:rPr>
          <w:spacing w:val="-6"/>
          <w:sz w:val="22"/>
          <w:szCs w:val="22"/>
        </w:rPr>
      </w:pPr>
      <w:r>
        <w:rPr>
          <w:b/>
          <w:bCs/>
          <w:spacing w:val="-6"/>
          <w:sz w:val="22"/>
          <w:szCs w:val="22"/>
        </w:rPr>
        <w:t>Nu se acceptă depunerea de oferte alternative</w:t>
      </w:r>
      <w:r>
        <w:rPr>
          <w:spacing w:val="-6"/>
          <w:sz w:val="22"/>
          <w:szCs w:val="22"/>
        </w:rPr>
        <w:t xml:space="preserve">. Nu se admit ofertele parțiale din punct de vedere cantitativ și calitativ, ci numai oferte integrale, care corespund tuturor cerințelor obligatorii stabilite prin prezentul Caiet de sarcini. </w:t>
      </w:r>
    </w:p>
    <w:p w14:paraId="0745612F">
      <w:pPr>
        <w:pStyle w:val="28"/>
        <w:shd w:val="clear" w:color="auto" w:fill="auto"/>
        <w:spacing w:before="120" w:after="120" w:line="240" w:lineRule="auto"/>
        <w:ind w:right="20" w:firstLine="0"/>
        <w:rPr>
          <w:spacing w:val="-6"/>
          <w:sz w:val="22"/>
          <w:szCs w:val="22"/>
          <w:highlight w:val="none"/>
        </w:rPr>
      </w:pPr>
      <w:r>
        <w:rPr>
          <w:spacing w:val="-6"/>
          <w:sz w:val="22"/>
          <w:szCs w:val="22"/>
          <w:highlight w:val="none"/>
        </w:rPr>
        <w:t xml:space="preserve">Pe parcursul analizării și verificării documentelor prezentate de ofertanți, </w:t>
      </w:r>
      <w:r>
        <w:rPr>
          <w:rFonts w:hint="default"/>
          <w:spacing w:val="-6"/>
          <w:sz w:val="22"/>
          <w:szCs w:val="22"/>
          <w:highlight w:val="none"/>
          <w:lang w:val="en-US"/>
        </w:rPr>
        <w:t>autoritatea contractanta</w:t>
      </w:r>
      <w:r>
        <w:rPr>
          <w:spacing w:val="-6"/>
          <w:sz w:val="22"/>
          <w:szCs w:val="22"/>
          <w:highlight w:val="none"/>
        </w:rPr>
        <w:t xml:space="preserve"> are dreptul de a solicita oricând clarificări sau completări ale documentelor prezentate de aceștia pentru demonstrarea conformității ofertei cu toate cerințele solicitate. În cazul în care ofertantul nu transmite în perioada precizată de </w:t>
      </w:r>
      <w:r>
        <w:rPr>
          <w:rFonts w:hint="default"/>
          <w:spacing w:val="-6"/>
          <w:sz w:val="22"/>
          <w:szCs w:val="22"/>
          <w:highlight w:val="none"/>
          <w:lang w:val="en-US"/>
        </w:rPr>
        <w:t>autoritatea contractanta</w:t>
      </w:r>
      <w:r>
        <w:rPr>
          <w:spacing w:val="-6"/>
          <w:sz w:val="22"/>
          <w:szCs w:val="22"/>
          <w:highlight w:val="none"/>
        </w:rPr>
        <w:t xml:space="preserve"> răspunsurile la cererile de clarificări sau în cazul în care explicațiile prezentate de ofertant nu sunt concludente, oferta sa va fi respinsă.</w:t>
      </w:r>
    </w:p>
    <w:p w14:paraId="0BADF88F">
      <w:pPr>
        <w:pStyle w:val="28"/>
        <w:shd w:val="clear" w:color="auto" w:fill="auto"/>
        <w:spacing w:before="120" w:after="120" w:line="240" w:lineRule="auto"/>
        <w:ind w:right="20" w:firstLine="0"/>
        <w:rPr>
          <w:spacing w:val="-6"/>
          <w:sz w:val="22"/>
          <w:szCs w:val="22"/>
        </w:rPr>
      </w:pPr>
      <w:r>
        <w:rPr>
          <w:spacing w:val="-6"/>
          <w:sz w:val="22"/>
          <w:szCs w:val="22"/>
        </w:rPr>
        <w:t>Pentru scopul prezentei secțiuni a Documentației de Atribuire, orice activitate descrisă într-un anumit capitol din Caietul de Sarcini și nespecificată explicit în alt capitol, trebuie interpretată ca fiind menționată în toate capitolele unde se consideră de către Ofertant că aceasta trebuia menționată pentru asigurarea îndeplinirii obiectului Contractului.</w:t>
      </w:r>
    </w:p>
    <w:p w14:paraId="2C253E10">
      <w:pPr>
        <w:pStyle w:val="28"/>
        <w:shd w:val="clear" w:color="auto" w:fill="auto"/>
        <w:spacing w:before="120" w:after="120" w:line="240" w:lineRule="auto"/>
        <w:ind w:right="20" w:firstLine="0"/>
        <w:rPr>
          <w:spacing w:val="-6"/>
          <w:sz w:val="22"/>
          <w:szCs w:val="22"/>
        </w:rPr>
      </w:pPr>
      <w:r>
        <w:rPr>
          <w:spacing w:val="-6"/>
          <w:sz w:val="22"/>
          <w:szCs w:val="22"/>
        </w:rPr>
        <w:t xml:space="preserve"> În situația în care în caietul de sarcini sau în special în anexele acestuia se vor indica denumiri de producători, denumiri de produse, mărci comerciale și/sau orice alte elemente care prin modul în care sunt formulate pot influența concurența pe piață, toate respectivele denumiri se vor citi ca fiind urmate de sintagma „sau echivalent”.</w:t>
      </w:r>
    </w:p>
    <w:p w14:paraId="2BCAB845">
      <w:pPr>
        <w:pStyle w:val="28"/>
        <w:shd w:val="clear" w:color="auto" w:fill="auto"/>
        <w:spacing w:before="120" w:after="120" w:line="240" w:lineRule="auto"/>
        <w:ind w:right="20" w:firstLine="0"/>
        <w:rPr>
          <w:spacing w:val="-6"/>
          <w:sz w:val="22"/>
          <w:szCs w:val="22"/>
        </w:rPr>
      </w:pPr>
    </w:p>
    <w:p w14:paraId="1B0BF474">
      <w:pPr>
        <w:pStyle w:val="2"/>
        <w:spacing w:before="120" w:after="120" w:line="240" w:lineRule="auto"/>
        <w:contextualSpacing w:val="0"/>
        <w:rPr>
          <w:sz w:val="22"/>
          <w:szCs w:val="22"/>
          <w:lang w:val="ro-RO" w:eastAsia="ro-RO" w:bidi="ro-RO"/>
        </w:rPr>
      </w:pPr>
      <w:bookmarkStart w:id="1" w:name="_Toc8837"/>
      <w:r>
        <w:rPr>
          <w:sz w:val="22"/>
          <w:szCs w:val="22"/>
          <w:lang w:val="ro-RO" w:eastAsia="ro-RO" w:bidi="ro-RO"/>
        </w:rPr>
        <w:t>Contextul realizării achiziției de produse</w:t>
      </w:r>
      <w:bookmarkEnd w:id="1"/>
    </w:p>
    <w:p w14:paraId="34ADC143">
      <w:pPr>
        <w:pStyle w:val="28"/>
        <w:spacing w:before="120" w:after="120" w:line="240" w:lineRule="auto"/>
        <w:ind w:left="40" w:firstLine="0"/>
        <w:rPr>
          <w:i/>
          <w:iCs/>
          <w:spacing w:val="-6"/>
          <w:sz w:val="22"/>
          <w:szCs w:val="22"/>
        </w:rPr>
      </w:pPr>
      <w:r>
        <w:rPr>
          <w:b/>
          <w:bCs/>
          <w:spacing w:val="-6"/>
          <w:sz w:val="22"/>
          <w:szCs w:val="22"/>
        </w:rPr>
        <w:t>Municipiul Slobozia</w:t>
      </w:r>
      <w:r>
        <w:rPr>
          <w:spacing w:val="-6"/>
          <w:sz w:val="22"/>
          <w:szCs w:val="22"/>
        </w:rPr>
        <w:t xml:space="preserve"> implementează proiectul: </w:t>
      </w:r>
      <w:r>
        <w:rPr>
          <w:b/>
          <w:bCs/>
          <w:spacing w:val="-6"/>
          <w:sz w:val="22"/>
          <w:szCs w:val="22"/>
        </w:rPr>
        <w:t>„Dotarea  unităților  de  învățământ  preuniversitar  și  a unităților conexe din Municipiul Slobozia”</w:t>
      </w:r>
      <w:r>
        <w:rPr>
          <w:spacing w:val="-6"/>
          <w:sz w:val="22"/>
          <w:szCs w:val="22"/>
        </w:rPr>
        <w:t xml:space="preserve"> finanțat prin PNRR - Pilonul VI. </w:t>
      </w:r>
      <w:r>
        <w:rPr>
          <w:i/>
          <w:iCs/>
          <w:spacing w:val="-6"/>
          <w:sz w:val="22"/>
          <w:szCs w:val="22"/>
        </w:rPr>
        <w:t xml:space="preserve">Politici pentru noua generație </w:t>
      </w:r>
      <w:r>
        <w:rPr>
          <w:spacing w:val="-6"/>
          <w:sz w:val="22"/>
          <w:szCs w:val="22"/>
        </w:rPr>
        <w:t>- Componenta C15:</w:t>
      </w:r>
      <w:r>
        <w:rPr>
          <w:i/>
          <w:iCs/>
          <w:spacing w:val="-6"/>
          <w:sz w:val="22"/>
          <w:szCs w:val="22"/>
        </w:rPr>
        <w:t xml:space="preserve">Educație </w:t>
      </w:r>
      <w:r>
        <w:rPr>
          <w:spacing w:val="-6"/>
          <w:sz w:val="22"/>
          <w:szCs w:val="22"/>
        </w:rPr>
        <w:t xml:space="preserve">- Apelul de proiecte: </w:t>
      </w:r>
      <w:r>
        <w:rPr>
          <w:i/>
          <w:iCs/>
          <w:spacing w:val="-6"/>
          <w:sz w:val="22"/>
          <w:szCs w:val="22"/>
        </w:rPr>
        <w:t>F-PNRR-Dotari-2023-Dotarea cu mobilier</w:t>
      </w:r>
      <w:r>
        <w:rPr>
          <w:spacing w:val="-6"/>
          <w:sz w:val="22"/>
          <w:szCs w:val="22"/>
        </w:rPr>
        <w:t xml:space="preserve">, </w:t>
      </w:r>
      <w:r>
        <w:rPr>
          <w:i/>
          <w:iCs/>
          <w:spacing w:val="-6"/>
          <w:sz w:val="22"/>
          <w:szCs w:val="22"/>
        </w:rPr>
        <w:t>materiale didactice și echipamente digitale a unităților de învățământ preuniversitar și a unităților conexe.</w:t>
      </w:r>
    </w:p>
    <w:p w14:paraId="08DBE6E2">
      <w:pPr>
        <w:pStyle w:val="28"/>
        <w:spacing w:before="120" w:after="120" w:line="240" w:lineRule="auto"/>
        <w:ind w:firstLine="0"/>
        <w:rPr>
          <w:spacing w:val="-6"/>
          <w:sz w:val="22"/>
          <w:szCs w:val="22"/>
        </w:rPr>
      </w:pPr>
      <w:r>
        <w:rPr>
          <w:spacing w:val="-6"/>
          <w:sz w:val="22"/>
          <w:szCs w:val="22"/>
        </w:rPr>
        <w:t xml:space="preserve">În cadrul acestui proiect </w:t>
      </w:r>
      <w:r>
        <w:rPr>
          <w:b/>
          <w:bCs/>
          <w:spacing w:val="-6"/>
          <w:sz w:val="22"/>
          <w:szCs w:val="22"/>
        </w:rPr>
        <w:t>Municipiul Slobozia</w:t>
      </w:r>
      <w:r>
        <w:rPr>
          <w:spacing w:val="-6"/>
          <w:sz w:val="22"/>
          <w:szCs w:val="22"/>
        </w:rPr>
        <w:t xml:space="preserve"> realizează următoarele intervenții:</w:t>
      </w:r>
    </w:p>
    <w:p w14:paraId="773520C6">
      <w:pPr>
        <w:pStyle w:val="28"/>
        <w:numPr>
          <w:ilvl w:val="0"/>
          <w:numId w:val="2"/>
        </w:numPr>
        <w:spacing w:before="120" w:after="120" w:line="240" w:lineRule="auto"/>
        <w:rPr>
          <w:spacing w:val="-6"/>
          <w:sz w:val="22"/>
          <w:szCs w:val="22"/>
        </w:rPr>
      </w:pPr>
      <w:r>
        <w:rPr>
          <w:spacing w:val="-6"/>
          <w:sz w:val="22"/>
          <w:szCs w:val="22"/>
        </w:rPr>
        <w:t>Dotarea cu echipamente digitale pentru laboratoare de informatică din unitățile de învățământ preuniversitar din Municipiul Slobozia;</w:t>
      </w:r>
    </w:p>
    <w:p w14:paraId="4C37405E">
      <w:pPr>
        <w:pStyle w:val="28"/>
        <w:numPr>
          <w:ilvl w:val="0"/>
          <w:numId w:val="2"/>
        </w:numPr>
        <w:spacing w:before="120" w:after="120" w:line="240" w:lineRule="auto"/>
        <w:rPr>
          <w:spacing w:val="-6"/>
          <w:sz w:val="22"/>
          <w:szCs w:val="22"/>
        </w:rPr>
      </w:pPr>
      <w:r>
        <w:rPr>
          <w:spacing w:val="-6"/>
          <w:sz w:val="22"/>
          <w:szCs w:val="22"/>
        </w:rPr>
        <w:t>Dotarea cu mobilier a sălilor de clasă/ cabinetelor/ laboratoarelor școlare/sălilor sportive/ cabinetelor de asistență psihopedagogică din unitățile de învățământ preuniversitar din Municipiul Slobozia;</w:t>
      </w:r>
    </w:p>
    <w:p w14:paraId="7EAD3A79">
      <w:pPr>
        <w:pStyle w:val="28"/>
        <w:numPr>
          <w:ilvl w:val="0"/>
          <w:numId w:val="2"/>
        </w:numPr>
        <w:spacing w:before="120" w:after="120" w:line="240" w:lineRule="auto"/>
        <w:rPr>
          <w:spacing w:val="-6"/>
          <w:sz w:val="22"/>
          <w:szCs w:val="22"/>
        </w:rPr>
      </w:pPr>
      <w:r>
        <w:rPr>
          <w:spacing w:val="-6"/>
          <w:sz w:val="22"/>
          <w:szCs w:val="22"/>
        </w:rPr>
        <w:t>Dotarea cu materiale didactice, inclusiv în format digital, a sălilor de clasă/ cabinetelor/ laboratoarelor școlare din unitățile de învățământ preuniversitar din Municipiul Slobozia;</w:t>
      </w:r>
    </w:p>
    <w:p w14:paraId="56A93C7A">
      <w:pPr>
        <w:pStyle w:val="28"/>
        <w:numPr>
          <w:ilvl w:val="0"/>
          <w:numId w:val="2"/>
        </w:numPr>
        <w:spacing w:before="120" w:after="120" w:line="240" w:lineRule="auto"/>
        <w:rPr>
          <w:spacing w:val="-6"/>
          <w:sz w:val="22"/>
          <w:szCs w:val="22"/>
        </w:rPr>
      </w:pPr>
      <w:r>
        <w:rPr>
          <w:spacing w:val="-6"/>
          <w:sz w:val="22"/>
          <w:szCs w:val="22"/>
        </w:rPr>
        <w:t>Dotarea cu mobilier și materiale didactice a unităților conexe din Municipiul Slobozia.</w:t>
      </w:r>
    </w:p>
    <w:p w14:paraId="3581EC5D">
      <w:pPr>
        <w:pStyle w:val="28"/>
        <w:spacing w:before="120" w:after="120" w:line="240" w:lineRule="auto"/>
        <w:ind w:left="740" w:firstLine="0"/>
        <w:rPr>
          <w:spacing w:val="-6"/>
          <w:sz w:val="22"/>
          <w:szCs w:val="22"/>
        </w:rPr>
      </w:pPr>
    </w:p>
    <w:p w14:paraId="54556FAB">
      <w:pPr>
        <w:pStyle w:val="56"/>
        <w:keepNext/>
        <w:keepLines/>
        <w:widowControl w:val="0"/>
        <w:numPr>
          <w:ilvl w:val="0"/>
          <w:numId w:val="3"/>
        </w:numPr>
        <w:tabs>
          <w:tab w:val="left" w:pos="1176"/>
        </w:tabs>
        <w:spacing w:before="120" w:after="120"/>
        <w:contextualSpacing/>
        <w:jc w:val="both"/>
        <w:outlineLvl w:val="1"/>
        <w:rPr>
          <w:b/>
          <w:bCs/>
          <w:vanish/>
          <w:sz w:val="22"/>
          <w:szCs w:val="22"/>
          <w:lang w:eastAsia="en-GB"/>
        </w:rPr>
      </w:pPr>
      <w:bookmarkStart w:id="2" w:name="_Toc159326095"/>
      <w:bookmarkEnd w:id="2"/>
      <w:bookmarkStart w:id="3" w:name="_Toc478634960"/>
    </w:p>
    <w:p w14:paraId="6CA9E2B0">
      <w:pPr>
        <w:pStyle w:val="56"/>
        <w:keepNext/>
        <w:keepLines/>
        <w:widowControl w:val="0"/>
        <w:numPr>
          <w:ilvl w:val="0"/>
          <w:numId w:val="3"/>
        </w:numPr>
        <w:tabs>
          <w:tab w:val="left" w:pos="1176"/>
        </w:tabs>
        <w:spacing w:before="120" w:after="120"/>
        <w:contextualSpacing/>
        <w:jc w:val="both"/>
        <w:outlineLvl w:val="1"/>
        <w:rPr>
          <w:b/>
          <w:bCs/>
          <w:vanish/>
          <w:sz w:val="22"/>
          <w:szCs w:val="22"/>
          <w:lang w:eastAsia="en-GB"/>
        </w:rPr>
      </w:pPr>
      <w:bookmarkStart w:id="4" w:name="_Toc159326096"/>
      <w:bookmarkEnd w:id="4"/>
    </w:p>
    <w:p w14:paraId="4C6A6589">
      <w:pPr>
        <w:pStyle w:val="4"/>
        <w:numPr>
          <w:ilvl w:val="1"/>
          <w:numId w:val="3"/>
        </w:numPr>
        <w:spacing w:before="120" w:after="120" w:line="240" w:lineRule="auto"/>
        <w:contextualSpacing w:val="0"/>
        <w:rPr>
          <w:sz w:val="22"/>
          <w:szCs w:val="22"/>
          <w:lang w:val="ro-RO"/>
        </w:rPr>
      </w:pPr>
      <w:bookmarkStart w:id="5" w:name="_Toc29154"/>
      <w:r>
        <w:rPr>
          <w:sz w:val="22"/>
          <w:szCs w:val="22"/>
          <w:lang w:val="ro-RO"/>
        </w:rPr>
        <w:t xml:space="preserve">Informații despre </w:t>
      </w:r>
      <w:bookmarkEnd w:id="3"/>
      <w:r>
        <w:rPr>
          <w:sz w:val="22"/>
          <w:szCs w:val="22"/>
          <w:lang w:val="ro-RO"/>
        </w:rPr>
        <w:t>autoritatea contractantă</w:t>
      </w:r>
      <w:bookmarkEnd w:id="5"/>
    </w:p>
    <w:tbl>
      <w:tblPr>
        <w:tblStyle w:val="8"/>
        <w:tblpPr w:leftFromText="180" w:rightFromText="180" w:vertAnchor="text" w:horzAnchor="margin" w:tblpXSpec="center" w:tblpY="192"/>
        <w:tblW w:w="873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56"/>
        <w:gridCol w:w="5476"/>
      </w:tblGrid>
      <w:tr w14:paraId="545F9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3256" w:type="dxa"/>
            <w:vAlign w:val="center"/>
          </w:tcPr>
          <w:p w14:paraId="28C60C51">
            <w:pPr>
              <w:pStyle w:val="64"/>
              <w:spacing w:before="120" w:after="120"/>
              <w:ind w:left="107"/>
              <w:jc w:val="both"/>
              <w:rPr>
                <w:rFonts w:ascii="Times New Roman" w:hAnsi="Times New Roman" w:cs="Times New Roman"/>
                <w:spacing w:val="-6"/>
                <w:sz w:val="22"/>
                <w:szCs w:val="22"/>
              </w:rPr>
            </w:pPr>
            <w:r>
              <w:rPr>
                <w:rFonts w:ascii="Times New Roman" w:hAnsi="Times New Roman" w:cs="Times New Roman"/>
                <w:spacing w:val="-6"/>
                <w:sz w:val="22"/>
                <w:szCs w:val="22"/>
              </w:rPr>
              <w:t>Denumire autoritate contractantă</w:t>
            </w:r>
          </w:p>
        </w:tc>
        <w:tc>
          <w:tcPr>
            <w:tcW w:w="5476" w:type="dxa"/>
            <w:vAlign w:val="center"/>
          </w:tcPr>
          <w:p w14:paraId="50D34735">
            <w:pPr>
              <w:pStyle w:val="64"/>
              <w:spacing w:before="120" w:after="120"/>
              <w:ind w:left="106"/>
              <w:jc w:val="both"/>
              <w:rPr>
                <w:rFonts w:ascii="Times New Roman" w:hAnsi="Times New Roman" w:cs="Times New Roman"/>
                <w:b/>
                <w:bCs/>
                <w:spacing w:val="-6"/>
                <w:sz w:val="22"/>
                <w:szCs w:val="22"/>
              </w:rPr>
            </w:pPr>
            <w:r>
              <w:rPr>
                <w:rFonts w:ascii="Times New Roman" w:hAnsi="Times New Roman" w:cs="Times New Roman"/>
                <w:b/>
                <w:bCs/>
                <w:spacing w:val="-6"/>
                <w:sz w:val="22"/>
                <w:szCs w:val="22"/>
              </w:rPr>
              <w:t>UAT Municipiul Slobozia</w:t>
            </w:r>
          </w:p>
        </w:tc>
      </w:tr>
      <w:tr w14:paraId="12DFCB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 w:hRule="atLeast"/>
        </w:trPr>
        <w:tc>
          <w:tcPr>
            <w:tcW w:w="3256" w:type="dxa"/>
            <w:vAlign w:val="center"/>
          </w:tcPr>
          <w:p w14:paraId="721F279D">
            <w:pPr>
              <w:pStyle w:val="64"/>
              <w:ind w:left="107"/>
              <w:jc w:val="both"/>
              <w:rPr>
                <w:rFonts w:ascii="Times New Roman" w:hAnsi="Times New Roman" w:cs="Times New Roman"/>
                <w:spacing w:val="-6"/>
                <w:sz w:val="22"/>
                <w:szCs w:val="22"/>
              </w:rPr>
            </w:pPr>
            <w:r>
              <w:rPr>
                <w:rFonts w:ascii="Times New Roman" w:hAnsi="Times New Roman" w:cs="Times New Roman"/>
                <w:spacing w:val="-6"/>
                <w:sz w:val="22"/>
                <w:szCs w:val="22"/>
              </w:rPr>
              <w:t>Adresă</w:t>
            </w:r>
          </w:p>
        </w:tc>
        <w:tc>
          <w:tcPr>
            <w:tcW w:w="5476" w:type="dxa"/>
            <w:vAlign w:val="center"/>
          </w:tcPr>
          <w:p w14:paraId="303F9910">
            <w:pPr>
              <w:pStyle w:val="64"/>
              <w:ind w:left="106"/>
              <w:jc w:val="both"/>
              <w:rPr>
                <w:rFonts w:ascii="Times New Roman" w:hAnsi="Times New Roman" w:cs="Times New Roman"/>
                <w:spacing w:val="-6"/>
                <w:sz w:val="22"/>
                <w:szCs w:val="22"/>
              </w:rPr>
            </w:pPr>
            <w:r>
              <w:rPr>
                <w:rFonts w:ascii="Times New Roman" w:hAnsi="Times New Roman" w:cs="Times New Roman"/>
                <w:spacing w:val="-6"/>
                <w:sz w:val="22"/>
                <w:szCs w:val="22"/>
              </w:rPr>
              <w:t xml:space="preserve">România, Județul </w:t>
            </w:r>
            <w:r>
              <w:rPr>
                <w:rFonts w:ascii="Times New Roman" w:hAnsi="Times New Roman" w:cs="Times New Roman"/>
                <w:b/>
                <w:bCs/>
                <w:spacing w:val="-6"/>
                <w:sz w:val="22"/>
                <w:szCs w:val="22"/>
              </w:rPr>
              <w:t>Ialomița</w:t>
            </w:r>
            <w:r>
              <w:rPr>
                <w:rFonts w:ascii="Times New Roman" w:hAnsi="Times New Roman" w:cs="Times New Roman"/>
                <w:spacing w:val="-6"/>
                <w:sz w:val="22"/>
                <w:szCs w:val="22"/>
              </w:rPr>
              <w:t xml:space="preserve">, Municipiul </w:t>
            </w:r>
            <w:r>
              <w:rPr>
                <w:rFonts w:ascii="Times New Roman" w:hAnsi="Times New Roman" w:cs="Times New Roman"/>
                <w:b/>
                <w:bCs/>
                <w:spacing w:val="-6"/>
                <w:sz w:val="22"/>
                <w:szCs w:val="22"/>
              </w:rPr>
              <w:t>Slobozia</w:t>
            </w:r>
            <w:r>
              <w:rPr>
                <w:rFonts w:ascii="Times New Roman" w:hAnsi="Times New Roman" w:cs="Times New Roman"/>
                <w:spacing w:val="-6"/>
                <w:sz w:val="22"/>
                <w:szCs w:val="22"/>
              </w:rPr>
              <w:t xml:space="preserve">, Strada </w:t>
            </w:r>
            <w:r>
              <w:rPr>
                <w:rFonts w:ascii="Times New Roman" w:hAnsi="Times New Roman" w:cs="Times New Roman"/>
                <w:b/>
                <w:bCs/>
                <w:spacing w:val="-6"/>
                <w:sz w:val="22"/>
                <w:szCs w:val="22"/>
              </w:rPr>
              <w:t>Episcopiei</w:t>
            </w:r>
            <w:r>
              <w:rPr>
                <w:rFonts w:ascii="Times New Roman" w:hAnsi="Times New Roman" w:cs="Times New Roman"/>
                <w:spacing w:val="-6"/>
                <w:sz w:val="22"/>
                <w:szCs w:val="22"/>
              </w:rPr>
              <w:t>, Nr.</w:t>
            </w:r>
            <w:r>
              <w:rPr>
                <w:rFonts w:ascii="Times New Roman" w:hAnsi="Times New Roman" w:cs="Times New Roman"/>
                <w:b/>
                <w:bCs/>
                <w:spacing w:val="-6"/>
                <w:sz w:val="22"/>
                <w:szCs w:val="22"/>
              </w:rPr>
              <w:t>1</w:t>
            </w:r>
            <w:r>
              <w:rPr>
                <w:rFonts w:ascii="Times New Roman" w:hAnsi="Times New Roman" w:cs="Times New Roman"/>
                <w:spacing w:val="-6"/>
                <w:sz w:val="22"/>
                <w:szCs w:val="22"/>
              </w:rPr>
              <w:t xml:space="preserve">, Cod Poștal </w:t>
            </w:r>
            <w:r>
              <w:rPr>
                <w:rFonts w:ascii="Times New Roman" w:hAnsi="Times New Roman" w:cs="Times New Roman"/>
                <w:b/>
                <w:bCs/>
                <w:spacing w:val="-6"/>
                <w:sz w:val="22"/>
                <w:szCs w:val="22"/>
              </w:rPr>
              <w:t>920023</w:t>
            </w:r>
          </w:p>
        </w:tc>
      </w:tr>
      <w:tr w14:paraId="135D01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 w:hRule="atLeast"/>
        </w:trPr>
        <w:tc>
          <w:tcPr>
            <w:tcW w:w="3256" w:type="dxa"/>
            <w:vAlign w:val="center"/>
          </w:tcPr>
          <w:p w14:paraId="2E896C61">
            <w:pPr>
              <w:pStyle w:val="64"/>
              <w:ind w:left="107"/>
              <w:jc w:val="both"/>
              <w:rPr>
                <w:rFonts w:ascii="Times New Roman" w:hAnsi="Times New Roman" w:cs="Times New Roman"/>
                <w:spacing w:val="-6"/>
                <w:sz w:val="22"/>
                <w:szCs w:val="22"/>
              </w:rPr>
            </w:pPr>
            <w:r>
              <w:rPr>
                <w:rFonts w:ascii="Times New Roman" w:hAnsi="Times New Roman" w:cs="Times New Roman"/>
                <w:spacing w:val="-6"/>
                <w:sz w:val="22"/>
                <w:szCs w:val="22"/>
              </w:rPr>
              <w:t>Cod de identificare fiscală</w:t>
            </w:r>
          </w:p>
        </w:tc>
        <w:tc>
          <w:tcPr>
            <w:tcW w:w="5476" w:type="dxa"/>
            <w:vAlign w:val="center"/>
          </w:tcPr>
          <w:p w14:paraId="690F848D">
            <w:pPr>
              <w:pStyle w:val="64"/>
              <w:ind w:left="106"/>
              <w:jc w:val="both"/>
              <w:rPr>
                <w:rFonts w:ascii="Times New Roman" w:hAnsi="Times New Roman" w:cs="Times New Roman"/>
                <w:b/>
                <w:bCs/>
                <w:spacing w:val="-6"/>
                <w:sz w:val="22"/>
                <w:szCs w:val="22"/>
              </w:rPr>
            </w:pPr>
            <w:r>
              <w:rPr>
                <w:rFonts w:ascii="Times New Roman" w:hAnsi="Times New Roman" w:cs="Times New Roman"/>
                <w:b/>
                <w:bCs/>
                <w:spacing w:val="-6"/>
                <w:sz w:val="22"/>
                <w:szCs w:val="22"/>
              </w:rPr>
              <w:t>4365352</w:t>
            </w:r>
          </w:p>
        </w:tc>
      </w:tr>
      <w:tr w14:paraId="512C69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3256" w:type="dxa"/>
            <w:vAlign w:val="center"/>
          </w:tcPr>
          <w:p w14:paraId="7217CA48">
            <w:pPr>
              <w:pStyle w:val="64"/>
              <w:ind w:left="107"/>
              <w:jc w:val="both"/>
              <w:rPr>
                <w:rFonts w:ascii="Times New Roman" w:hAnsi="Times New Roman" w:cs="Times New Roman"/>
                <w:spacing w:val="-6"/>
                <w:sz w:val="22"/>
                <w:szCs w:val="22"/>
              </w:rPr>
            </w:pPr>
            <w:r>
              <w:rPr>
                <w:rFonts w:ascii="Times New Roman" w:hAnsi="Times New Roman" w:cs="Times New Roman"/>
                <w:spacing w:val="-6"/>
                <w:sz w:val="22"/>
                <w:szCs w:val="22"/>
              </w:rPr>
              <w:t>Telefon fix/Fax</w:t>
            </w:r>
          </w:p>
        </w:tc>
        <w:tc>
          <w:tcPr>
            <w:tcW w:w="5476" w:type="dxa"/>
            <w:vAlign w:val="center"/>
          </w:tcPr>
          <w:p w14:paraId="15B80F37">
            <w:pPr>
              <w:pStyle w:val="64"/>
              <w:ind w:left="106"/>
              <w:jc w:val="both"/>
              <w:rPr>
                <w:rFonts w:ascii="Times New Roman" w:hAnsi="Times New Roman" w:cs="Times New Roman"/>
                <w:spacing w:val="-6"/>
                <w:sz w:val="22"/>
                <w:szCs w:val="22"/>
              </w:rPr>
            </w:pPr>
            <w:r>
              <w:rPr>
                <w:rFonts w:ascii="Times New Roman" w:hAnsi="Times New Roman" w:cs="Times New Roman"/>
                <w:spacing w:val="-6"/>
                <w:sz w:val="22"/>
                <w:szCs w:val="22"/>
              </w:rPr>
              <w:t>(+40) 243.231.401/ (+40) 243.212.149</w:t>
            </w:r>
          </w:p>
        </w:tc>
      </w:tr>
      <w:tr w14:paraId="433AE7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3256" w:type="dxa"/>
            <w:vAlign w:val="center"/>
          </w:tcPr>
          <w:p w14:paraId="2FDA2562">
            <w:pPr>
              <w:pStyle w:val="64"/>
              <w:ind w:left="107"/>
              <w:jc w:val="both"/>
              <w:rPr>
                <w:rFonts w:ascii="Times New Roman" w:hAnsi="Times New Roman" w:cs="Times New Roman"/>
                <w:spacing w:val="-6"/>
                <w:sz w:val="22"/>
                <w:szCs w:val="22"/>
              </w:rPr>
            </w:pPr>
            <w:r>
              <w:rPr>
                <w:rFonts w:ascii="Times New Roman" w:hAnsi="Times New Roman" w:cs="Times New Roman"/>
                <w:spacing w:val="-6"/>
                <w:sz w:val="22"/>
                <w:szCs w:val="22"/>
              </w:rPr>
              <w:t>Mobil</w:t>
            </w:r>
          </w:p>
        </w:tc>
        <w:tc>
          <w:tcPr>
            <w:tcW w:w="5476" w:type="dxa"/>
            <w:vAlign w:val="center"/>
          </w:tcPr>
          <w:p w14:paraId="5ED8EE4D">
            <w:pPr>
              <w:pStyle w:val="64"/>
              <w:ind w:left="106"/>
              <w:jc w:val="both"/>
              <w:rPr>
                <w:rFonts w:hint="default" w:ascii="Times New Roman" w:hAnsi="Times New Roman" w:cs="Times New Roman"/>
                <w:spacing w:val="-6"/>
                <w:sz w:val="22"/>
                <w:szCs w:val="22"/>
                <w:lang w:val="en-US"/>
              </w:rPr>
            </w:pPr>
            <w:r>
              <w:rPr>
                <w:rFonts w:hint="default" w:ascii="Times New Roman" w:hAnsi="Times New Roman" w:cs="Times New Roman"/>
                <w:spacing w:val="-6"/>
                <w:sz w:val="22"/>
                <w:szCs w:val="22"/>
                <w:lang w:val="en-US"/>
              </w:rPr>
              <w:t>0760.769.637</w:t>
            </w:r>
          </w:p>
        </w:tc>
      </w:tr>
      <w:tr w14:paraId="4913F2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3256" w:type="dxa"/>
            <w:vAlign w:val="center"/>
          </w:tcPr>
          <w:p w14:paraId="45D69A4F">
            <w:pPr>
              <w:pStyle w:val="64"/>
              <w:ind w:left="107"/>
              <w:jc w:val="both"/>
              <w:rPr>
                <w:rFonts w:ascii="Times New Roman" w:hAnsi="Times New Roman" w:cs="Times New Roman"/>
                <w:spacing w:val="-6"/>
                <w:sz w:val="22"/>
                <w:szCs w:val="22"/>
              </w:rPr>
            </w:pPr>
            <w:r>
              <w:rPr>
                <w:rFonts w:ascii="Times New Roman" w:hAnsi="Times New Roman" w:cs="Times New Roman"/>
                <w:spacing w:val="-6"/>
                <w:sz w:val="22"/>
                <w:szCs w:val="22"/>
              </w:rPr>
              <w:t>E-mail</w:t>
            </w:r>
          </w:p>
        </w:tc>
        <w:tc>
          <w:tcPr>
            <w:tcW w:w="5476" w:type="dxa"/>
            <w:vAlign w:val="center"/>
          </w:tcPr>
          <w:p w14:paraId="54EAA6F5">
            <w:pPr>
              <w:pStyle w:val="64"/>
              <w:ind w:left="106"/>
              <w:jc w:val="both"/>
              <w:rPr>
                <w:rFonts w:ascii="Times New Roman" w:hAnsi="Times New Roman" w:cs="Times New Roman"/>
                <w:spacing w:val="-6"/>
                <w:sz w:val="22"/>
                <w:szCs w:val="22"/>
              </w:rPr>
            </w:pPr>
            <w:r>
              <w:fldChar w:fldCharType="begin"/>
            </w:r>
            <w:r>
              <w:instrText xml:space="preserve"> HYPERLINK "mailto:office@municipiulslobozia.ro" \h </w:instrText>
            </w:r>
            <w:r>
              <w:fldChar w:fldCharType="separate"/>
            </w:r>
            <w:r>
              <w:rPr>
                <w:rFonts w:ascii="Times New Roman" w:hAnsi="Times New Roman" w:cs="Times New Roman"/>
                <w:spacing w:val="-6"/>
                <w:sz w:val="22"/>
                <w:szCs w:val="22"/>
              </w:rPr>
              <w:t>office@municipiulslobozia.ro</w:t>
            </w:r>
            <w:r>
              <w:rPr>
                <w:rFonts w:ascii="Times New Roman" w:hAnsi="Times New Roman" w:cs="Times New Roman"/>
                <w:spacing w:val="-6"/>
                <w:sz w:val="22"/>
                <w:szCs w:val="22"/>
              </w:rPr>
              <w:fldChar w:fldCharType="end"/>
            </w:r>
          </w:p>
        </w:tc>
      </w:tr>
      <w:tr w14:paraId="689A2A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3256" w:type="dxa"/>
            <w:vAlign w:val="center"/>
          </w:tcPr>
          <w:p w14:paraId="1D3E74C7">
            <w:pPr>
              <w:pStyle w:val="64"/>
              <w:ind w:left="107"/>
              <w:jc w:val="both"/>
              <w:rPr>
                <w:rFonts w:ascii="Times New Roman" w:hAnsi="Times New Roman" w:cs="Times New Roman"/>
                <w:spacing w:val="-6"/>
                <w:sz w:val="22"/>
                <w:szCs w:val="22"/>
              </w:rPr>
            </w:pPr>
            <w:r>
              <w:rPr>
                <w:rFonts w:ascii="Times New Roman" w:hAnsi="Times New Roman" w:cs="Times New Roman"/>
                <w:spacing w:val="-6"/>
                <w:sz w:val="22"/>
                <w:szCs w:val="22"/>
              </w:rPr>
              <w:t xml:space="preserve">Web </w:t>
            </w:r>
          </w:p>
        </w:tc>
        <w:tc>
          <w:tcPr>
            <w:tcW w:w="5476" w:type="dxa"/>
            <w:vAlign w:val="center"/>
          </w:tcPr>
          <w:p w14:paraId="0012B443">
            <w:pPr>
              <w:pStyle w:val="64"/>
              <w:ind w:left="106"/>
              <w:jc w:val="both"/>
              <w:rPr>
                <w:rFonts w:ascii="Times New Roman" w:hAnsi="Times New Roman" w:cs="Times New Roman"/>
                <w:spacing w:val="-6"/>
                <w:sz w:val="22"/>
                <w:szCs w:val="22"/>
              </w:rPr>
            </w:pPr>
            <w:r>
              <w:rPr>
                <w:rFonts w:ascii="Times New Roman" w:hAnsi="Times New Roman" w:cs="Times New Roman"/>
                <w:spacing w:val="-6"/>
                <w:sz w:val="22"/>
                <w:szCs w:val="22"/>
              </w:rPr>
              <w:t>www.municipiulslobozia.ro</w:t>
            </w:r>
          </w:p>
        </w:tc>
      </w:tr>
    </w:tbl>
    <w:p w14:paraId="7D4F323E">
      <w:pPr>
        <w:pStyle w:val="28"/>
        <w:spacing w:before="120" w:after="120" w:line="240" w:lineRule="auto"/>
        <w:ind w:firstLine="0"/>
        <w:rPr>
          <w:spacing w:val="-6"/>
          <w:sz w:val="22"/>
          <w:szCs w:val="22"/>
        </w:rPr>
      </w:pPr>
      <w:r>
        <w:rPr>
          <w:spacing w:val="-6"/>
          <w:sz w:val="22"/>
          <w:szCs w:val="22"/>
        </w:rPr>
        <w:t xml:space="preserve">În conformitate cu prevederile Constituției României, republicată, coroborate cu prevederile O.U.G. nr. 57/2019 privind Codul Administrativ, cu modificările și completările ulterioare, UAT Municipiul Slobozia este autoritate a administrației publice locale, constituită la nivel municipal, care asigură, potrivit competenței sale și în condițiile legii, cadrul necesar pentru furnizarea serviciilor publice de interes local, privind educația. </w:t>
      </w:r>
    </w:p>
    <w:p w14:paraId="62475E78">
      <w:pPr>
        <w:pStyle w:val="28"/>
        <w:spacing w:before="120" w:after="120" w:line="240" w:lineRule="auto"/>
        <w:ind w:firstLine="0"/>
        <w:rPr>
          <w:i/>
          <w:iCs/>
          <w:spacing w:val="-6"/>
          <w:sz w:val="22"/>
          <w:szCs w:val="22"/>
        </w:rPr>
      </w:pPr>
      <w:r>
        <w:rPr>
          <w:spacing w:val="-6"/>
          <w:sz w:val="22"/>
          <w:szCs w:val="22"/>
        </w:rPr>
        <w:t xml:space="preserve">În contextul preocupărilor și obligațiilor legale de a asigura condiții optime pentru furnizarea serviciilor publice de educație și de a facilita accesul unui număr cât mai ridicat de cetățeni la aceste servicii, UAT Municipiul Slobozia a accesat o finanțare nerambursabilă în cadrul Planului Național de Redresare și Reziliență, Pilonul VI. </w:t>
      </w:r>
      <w:r>
        <w:rPr>
          <w:i/>
          <w:iCs/>
          <w:spacing w:val="-6"/>
          <w:sz w:val="22"/>
          <w:szCs w:val="22"/>
        </w:rPr>
        <w:t xml:space="preserve">Politici pentru noua generație </w:t>
      </w:r>
      <w:r>
        <w:rPr>
          <w:spacing w:val="-6"/>
          <w:sz w:val="22"/>
          <w:szCs w:val="22"/>
        </w:rPr>
        <w:t>- Componenta C15:</w:t>
      </w:r>
      <w:r>
        <w:rPr>
          <w:i/>
          <w:iCs/>
          <w:spacing w:val="-6"/>
          <w:sz w:val="22"/>
          <w:szCs w:val="22"/>
        </w:rPr>
        <w:t xml:space="preserve">Educație </w:t>
      </w:r>
      <w:r>
        <w:rPr>
          <w:spacing w:val="-6"/>
          <w:sz w:val="22"/>
          <w:szCs w:val="22"/>
        </w:rPr>
        <w:t xml:space="preserve">- Apelul de proiecte: </w:t>
      </w:r>
      <w:r>
        <w:rPr>
          <w:i/>
          <w:iCs/>
          <w:spacing w:val="-6"/>
          <w:sz w:val="22"/>
          <w:szCs w:val="22"/>
        </w:rPr>
        <w:t>F-PNRR-Dotari-2023-Dotarea cu mobilier</w:t>
      </w:r>
      <w:r>
        <w:rPr>
          <w:spacing w:val="-6"/>
          <w:sz w:val="22"/>
          <w:szCs w:val="22"/>
        </w:rPr>
        <w:t xml:space="preserve">, </w:t>
      </w:r>
      <w:r>
        <w:rPr>
          <w:i/>
          <w:iCs/>
          <w:spacing w:val="-6"/>
          <w:sz w:val="22"/>
          <w:szCs w:val="22"/>
        </w:rPr>
        <w:t>materiale didactice și echipamente digitale a unităților de învățământ preuniversitar și a unităților conexe</w:t>
      </w:r>
      <w:r>
        <w:rPr>
          <w:spacing w:val="-6"/>
          <w:sz w:val="22"/>
          <w:szCs w:val="22"/>
        </w:rPr>
        <w:t xml:space="preserve"> având ca obiectiv general </w:t>
      </w:r>
      <w:r>
        <w:rPr>
          <w:i/>
          <w:iCs/>
          <w:spacing w:val="-6"/>
          <w:sz w:val="22"/>
          <w:szCs w:val="22"/>
        </w:rPr>
        <w:t>crearea unei infrastructuri de calitate pentru a spori siguranța mediilor de învățare din cadrul unităților de învățământ preuniversitar de la nivelul UAT Municipiul Slobozia, prin dotarea acestora cu materiale didactice, mobilier și echipamente digitale, prin modernizarea infrastructurii existente și a dotărilor aferente, în concordanță cu standardele de calitate existente în educație, prin transformarea digitală a școlilor și facilitarea învățării online în medii sigure, în corelare cu nevoile prezente și viitoare ale pieței forței de muncă, în vederea asigurării participării la un proces educațional de calitate, modern și incluziv, pregătit pentru un curriculum actualizat mai ales in domeniile TIC, pentru toți copiii din mediul preuniversitar și adaptat pentru cei defavorizați sau cu cerințe educaționale speciale.</w:t>
      </w:r>
    </w:p>
    <w:p w14:paraId="67001BCD">
      <w:pPr>
        <w:pStyle w:val="28"/>
        <w:spacing w:before="120" w:after="120" w:line="240" w:lineRule="auto"/>
        <w:ind w:firstLine="0"/>
        <w:rPr>
          <w:sz w:val="22"/>
          <w:szCs w:val="22"/>
        </w:rPr>
      </w:pPr>
      <w:r>
        <w:rPr>
          <w:sz w:val="22"/>
          <w:szCs w:val="22"/>
        </w:rPr>
        <w:t xml:space="preserve">Obiectul achiziție de față este reprezentat </w:t>
      </w:r>
      <w:r>
        <w:rPr>
          <w:b/>
          <w:bCs/>
          <w:sz w:val="22"/>
          <w:szCs w:val="22"/>
        </w:rPr>
        <w:t>exclusiv de achiziția de materiale didactice</w:t>
      </w:r>
      <w:r>
        <w:rPr>
          <w:rFonts w:hint="default"/>
          <w:b/>
          <w:bCs/>
          <w:sz w:val="22"/>
          <w:szCs w:val="22"/>
          <w:lang w:val="en-US"/>
        </w:rPr>
        <w:t xml:space="preserve"> pentru cabinetele de muzica</w:t>
      </w:r>
      <w:r>
        <w:rPr>
          <w:sz w:val="22"/>
          <w:szCs w:val="22"/>
        </w:rPr>
        <w:t xml:space="preserve"> pentru dotarea unităților de învățământ preuniversitar din municipiu. Achizițiile de echipamente IT, respectiv mobilier școlar au făcut obiectul unor proceduri de achiziție distincte, finalizate  la data aprobării prezentului caiet de sarcini.</w:t>
      </w:r>
    </w:p>
    <w:p w14:paraId="0A376B22">
      <w:pPr>
        <w:pStyle w:val="28"/>
        <w:spacing w:before="120" w:after="120" w:line="240" w:lineRule="auto"/>
        <w:ind w:firstLine="0"/>
        <w:rPr>
          <w:spacing w:val="-6"/>
          <w:sz w:val="22"/>
          <w:szCs w:val="22"/>
        </w:rPr>
      </w:pPr>
    </w:p>
    <w:p w14:paraId="0B159ACC">
      <w:pPr>
        <w:pStyle w:val="4"/>
        <w:numPr>
          <w:ilvl w:val="1"/>
          <w:numId w:val="3"/>
        </w:numPr>
        <w:spacing w:before="120" w:after="120" w:line="240" w:lineRule="auto"/>
        <w:contextualSpacing w:val="0"/>
        <w:rPr>
          <w:sz w:val="22"/>
          <w:szCs w:val="22"/>
          <w:lang w:val="ro-RO"/>
        </w:rPr>
      </w:pPr>
      <w:bookmarkStart w:id="6" w:name="_Toc3182"/>
      <w:r>
        <w:rPr>
          <w:sz w:val="22"/>
          <w:szCs w:val="22"/>
          <w:lang w:val="ro-RO"/>
        </w:rPr>
        <w:t>Informații despre contextul care a determinat achiziționarea produselor</w:t>
      </w:r>
      <w:bookmarkEnd w:id="6"/>
    </w:p>
    <w:p w14:paraId="56E0345D">
      <w:pPr>
        <w:pStyle w:val="28"/>
        <w:spacing w:before="120" w:after="120" w:line="240" w:lineRule="auto"/>
        <w:ind w:firstLine="0"/>
        <w:rPr>
          <w:b/>
          <w:bCs/>
          <w:sz w:val="22"/>
          <w:szCs w:val="22"/>
        </w:rPr>
      </w:pPr>
      <w:r>
        <w:rPr>
          <w:sz w:val="22"/>
          <w:szCs w:val="22"/>
        </w:rPr>
        <w:t xml:space="preserve">Achiziționarea materialelor didactice ce fac obiectul procedurii de achiziții este realizată în contextul în care UAT Municipiul Slobozia beneficiază de o finanțare nerambursabilă acordată prin Planul Național de Redresare și Reziliență, Pilonul VI. </w:t>
      </w:r>
      <w:r>
        <w:rPr>
          <w:i/>
          <w:iCs/>
          <w:sz w:val="22"/>
          <w:szCs w:val="22"/>
        </w:rPr>
        <w:t>Politici pentru noua generație</w:t>
      </w:r>
      <w:r>
        <w:rPr>
          <w:sz w:val="22"/>
          <w:szCs w:val="22"/>
        </w:rPr>
        <w:t xml:space="preserve"> - Componenta C15:</w:t>
      </w:r>
      <w:r>
        <w:rPr>
          <w:i/>
          <w:iCs/>
          <w:sz w:val="22"/>
          <w:szCs w:val="22"/>
        </w:rPr>
        <w:t>Educație</w:t>
      </w:r>
      <w:r>
        <w:rPr>
          <w:sz w:val="22"/>
          <w:szCs w:val="22"/>
        </w:rPr>
        <w:t xml:space="preserve"> - Apelul de proiecte: </w:t>
      </w:r>
      <w:r>
        <w:rPr>
          <w:i/>
          <w:iCs/>
          <w:sz w:val="22"/>
          <w:szCs w:val="22"/>
        </w:rPr>
        <w:t>F-PNRR-Dotari-2023-Dotarea cu mobilier, materiale didactice și echipamente digitale a unităților de învățământ preuniversitar și a unităților conexe</w:t>
      </w:r>
      <w:r>
        <w:rPr>
          <w:sz w:val="22"/>
          <w:szCs w:val="22"/>
        </w:rPr>
        <w:t xml:space="preserve">, pentru implementarea proiectului </w:t>
      </w:r>
      <w:r>
        <w:rPr>
          <w:b/>
          <w:bCs/>
          <w:sz w:val="22"/>
          <w:szCs w:val="22"/>
        </w:rPr>
        <w:t>„Dotarea unităților de învățământ preuniversitar și a unităților conexe din Municipiul Slobozia”.</w:t>
      </w:r>
    </w:p>
    <w:p w14:paraId="7245ACB9">
      <w:pPr>
        <w:pStyle w:val="28"/>
        <w:spacing w:before="120" w:after="120" w:line="240" w:lineRule="auto"/>
        <w:ind w:firstLine="0"/>
        <w:rPr>
          <w:sz w:val="22"/>
          <w:szCs w:val="22"/>
        </w:rPr>
      </w:pPr>
      <w:r>
        <w:rPr>
          <w:sz w:val="22"/>
          <w:szCs w:val="22"/>
        </w:rPr>
        <w:t>Obiectivele proiectului sunt în corelare cu obiectivele reformelor 4, 5 și 6 din cadrul Pilonului IV. Politici pentru noua generație, Componenta C15: Educație a Planului Național de Redresare și Reziliență.</w:t>
      </w:r>
    </w:p>
    <w:p w14:paraId="76002659">
      <w:pPr>
        <w:pStyle w:val="28"/>
        <w:spacing w:before="120" w:after="120" w:line="240" w:lineRule="auto"/>
        <w:ind w:firstLine="0"/>
        <w:rPr>
          <w:sz w:val="22"/>
          <w:szCs w:val="22"/>
        </w:rPr>
      </w:pPr>
      <w:r>
        <w:rPr>
          <w:sz w:val="22"/>
          <w:szCs w:val="22"/>
        </w:rPr>
        <w:t>Scopul proiectului este acela de a îmbunătăți infrastructura educațională din Municipiul Slobozia în vederea creșterii calității și diversificării ofertei educaționale, a creșterii performanțelor școlare și a dezvoltării armonioase a tinerilor, prin dotarea unităților de învățământ preuniversitar și a unităților conexe cu echipamente performante, resurse educaționale optime, adaptate nivelului elevilor, asigurarea accesului la biblioteca virtuală și dezvoltarea sistemului digital de educație.</w:t>
      </w:r>
    </w:p>
    <w:p w14:paraId="7ECC08F5">
      <w:pPr>
        <w:pStyle w:val="28"/>
        <w:spacing w:before="120" w:after="120" w:line="240" w:lineRule="auto"/>
        <w:ind w:firstLine="0"/>
        <w:rPr>
          <w:sz w:val="22"/>
          <w:szCs w:val="22"/>
        </w:rPr>
      </w:pPr>
      <w:r>
        <w:rPr>
          <w:sz w:val="22"/>
          <w:szCs w:val="22"/>
        </w:rPr>
        <w:t xml:space="preserve">În acest context, prin achiziția de față se propune achiziția unui număr de </w:t>
      </w:r>
      <w:r>
        <w:rPr>
          <w:rFonts w:hint="default"/>
          <w:b/>
          <w:bCs/>
          <w:sz w:val="22"/>
          <w:szCs w:val="22"/>
          <w:lang w:val="en-US"/>
        </w:rPr>
        <w:t>54</w:t>
      </w:r>
      <w:r>
        <w:rPr>
          <w:b/>
          <w:bCs/>
          <w:color w:val="auto"/>
          <w:sz w:val="22"/>
          <w:szCs w:val="22"/>
          <w:highlight w:val="none"/>
        </w:rPr>
        <w:t xml:space="preserve"> de materiale didactice</w:t>
      </w:r>
      <w:r>
        <w:rPr>
          <w:rFonts w:hint="default"/>
          <w:b/>
          <w:bCs/>
          <w:color w:val="auto"/>
          <w:sz w:val="22"/>
          <w:szCs w:val="22"/>
          <w:highlight w:val="none"/>
          <w:lang w:val="en-US"/>
        </w:rPr>
        <w:t xml:space="preserve"> pentru cabinetele de muzica</w:t>
      </w:r>
      <w:r>
        <w:rPr>
          <w:sz w:val="22"/>
          <w:szCs w:val="22"/>
          <w:highlight w:val="none"/>
        </w:rPr>
        <w:t>,</w:t>
      </w:r>
      <w:r>
        <w:rPr>
          <w:sz w:val="22"/>
          <w:szCs w:val="22"/>
        </w:rPr>
        <w:t xml:space="preserve"> după cum urmează:</w:t>
      </w:r>
    </w:p>
    <w:tbl>
      <w:tblPr>
        <w:tblStyle w:val="8"/>
        <w:tblW w:w="5000" w:type="pct"/>
        <w:tblInd w:w="0" w:type="dxa"/>
        <w:tblLayout w:type="autofit"/>
        <w:tblCellMar>
          <w:top w:w="0" w:type="dxa"/>
          <w:left w:w="108" w:type="dxa"/>
          <w:bottom w:w="0" w:type="dxa"/>
          <w:right w:w="108" w:type="dxa"/>
        </w:tblCellMar>
      </w:tblPr>
      <w:tblGrid>
        <w:gridCol w:w="707"/>
        <w:gridCol w:w="8163"/>
        <w:gridCol w:w="1092"/>
      </w:tblGrid>
      <w:tr w14:paraId="28949C4A">
        <w:tblPrEx>
          <w:tblCellMar>
            <w:top w:w="0" w:type="dxa"/>
            <w:left w:w="108" w:type="dxa"/>
            <w:bottom w:w="0" w:type="dxa"/>
            <w:right w:w="108" w:type="dxa"/>
          </w:tblCellMar>
        </w:tblPrEx>
        <w:trPr>
          <w:trHeight w:val="458" w:hRule="atLeast"/>
        </w:trPr>
        <w:tc>
          <w:tcPr>
            <w:tcW w:w="355" w:type="pct"/>
            <w:vMerge w:val="restart"/>
            <w:tcBorders>
              <w:top w:val="single" w:color="auto" w:sz="4" w:space="0"/>
              <w:left w:val="single" w:color="auto" w:sz="4" w:space="0"/>
              <w:bottom w:val="single" w:color="000000" w:sz="4" w:space="0"/>
              <w:right w:val="single" w:color="auto" w:sz="4" w:space="0"/>
            </w:tcBorders>
            <w:shd w:val="clear" w:color="auto" w:fill="BFBFBF"/>
            <w:vAlign w:val="center"/>
          </w:tcPr>
          <w:p w14:paraId="0ADA695E">
            <w:pPr>
              <w:jc w:val="center"/>
              <w:rPr>
                <w:b/>
                <w:bCs/>
                <w:color w:val="000000"/>
                <w:sz w:val="18"/>
                <w:szCs w:val="18"/>
                <w:lang w:val="ro-RO"/>
              </w:rPr>
            </w:pPr>
            <w:r>
              <w:rPr>
                <w:b/>
                <w:bCs/>
                <w:color w:val="000000"/>
                <w:sz w:val="18"/>
                <w:szCs w:val="18"/>
                <w:lang w:val="ro-RO"/>
              </w:rPr>
              <w:t>Nr. Crt.</w:t>
            </w:r>
          </w:p>
        </w:tc>
        <w:tc>
          <w:tcPr>
            <w:tcW w:w="4097" w:type="pct"/>
            <w:vMerge w:val="restart"/>
            <w:tcBorders>
              <w:top w:val="single" w:color="auto" w:sz="4" w:space="0"/>
              <w:left w:val="single" w:color="auto" w:sz="4" w:space="0"/>
              <w:bottom w:val="single" w:color="000000" w:sz="4" w:space="0"/>
              <w:right w:val="single" w:color="auto" w:sz="4" w:space="0"/>
            </w:tcBorders>
            <w:shd w:val="clear" w:color="auto" w:fill="BFBFBF"/>
            <w:vAlign w:val="center"/>
          </w:tcPr>
          <w:p w14:paraId="78090360">
            <w:pPr>
              <w:jc w:val="center"/>
              <w:rPr>
                <w:b/>
                <w:bCs/>
                <w:color w:val="000000"/>
                <w:sz w:val="18"/>
                <w:szCs w:val="18"/>
                <w:lang w:val="ro-RO"/>
              </w:rPr>
            </w:pPr>
            <w:r>
              <w:rPr>
                <w:b/>
                <w:bCs/>
                <w:color w:val="000000"/>
                <w:sz w:val="18"/>
                <w:szCs w:val="18"/>
                <w:lang w:val="ro-RO"/>
              </w:rPr>
              <w:t>Denumire echipamente</w:t>
            </w:r>
          </w:p>
        </w:tc>
        <w:tc>
          <w:tcPr>
            <w:tcW w:w="548" w:type="pct"/>
            <w:vMerge w:val="restart"/>
            <w:tcBorders>
              <w:top w:val="single" w:color="auto" w:sz="4" w:space="0"/>
              <w:left w:val="single" w:color="auto" w:sz="4" w:space="0"/>
              <w:bottom w:val="single" w:color="000000" w:sz="4" w:space="0"/>
              <w:right w:val="single" w:color="auto" w:sz="4" w:space="0"/>
            </w:tcBorders>
            <w:shd w:val="clear" w:color="auto" w:fill="BFBFBF"/>
            <w:vAlign w:val="center"/>
          </w:tcPr>
          <w:p w14:paraId="0CD37DFA">
            <w:pPr>
              <w:jc w:val="center"/>
              <w:rPr>
                <w:b/>
                <w:bCs/>
                <w:color w:val="000000"/>
                <w:sz w:val="18"/>
                <w:szCs w:val="18"/>
                <w:lang w:val="ro-RO"/>
              </w:rPr>
            </w:pPr>
            <w:r>
              <w:rPr>
                <w:b/>
                <w:bCs/>
                <w:color w:val="000000"/>
                <w:sz w:val="18"/>
                <w:szCs w:val="18"/>
                <w:lang w:val="ro-RO"/>
              </w:rPr>
              <w:t>Cantitate</w:t>
            </w:r>
          </w:p>
        </w:tc>
      </w:tr>
      <w:tr w14:paraId="53C91806">
        <w:tblPrEx>
          <w:tblCellMar>
            <w:top w:w="0" w:type="dxa"/>
            <w:left w:w="108" w:type="dxa"/>
            <w:bottom w:w="0" w:type="dxa"/>
            <w:right w:w="108" w:type="dxa"/>
          </w:tblCellMar>
        </w:tblPrEx>
        <w:trPr>
          <w:trHeight w:val="458" w:hRule="atLeast"/>
        </w:trPr>
        <w:tc>
          <w:tcPr>
            <w:tcW w:w="355" w:type="pct"/>
            <w:vMerge w:val="continue"/>
            <w:tcBorders>
              <w:top w:val="single" w:color="auto" w:sz="4" w:space="0"/>
              <w:left w:val="single" w:color="auto" w:sz="4" w:space="0"/>
              <w:bottom w:val="single" w:color="000000" w:sz="4" w:space="0"/>
              <w:right w:val="single" w:color="auto" w:sz="4" w:space="0"/>
            </w:tcBorders>
            <w:shd w:val="clear" w:color="auto" w:fill="BFBFBF"/>
            <w:vAlign w:val="center"/>
          </w:tcPr>
          <w:p w14:paraId="683C8CC3">
            <w:pPr>
              <w:rPr>
                <w:b/>
                <w:bCs/>
                <w:color w:val="000000"/>
                <w:sz w:val="18"/>
                <w:szCs w:val="18"/>
                <w:lang w:val="ro-RO"/>
              </w:rPr>
            </w:pPr>
          </w:p>
        </w:tc>
        <w:tc>
          <w:tcPr>
            <w:tcW w:w="4097" w:type="pct"/>
            <w:vMerge w:val="continue"/>
            <w:tcBorders>
              <w:top w:val="single" w:color="auto" w:sz="4" w:space="0"/>
              <w:left w:val="single" w:color="auto" w:sz="4" w:space="0"/>
              <w:bottom w:val="single" w:color="000000" w:sz="4" w:space="0"/>
              <w:right w:val="single" w:color="auto" w:sz="4" w:space="0"/>
            </w:tcBorders>
            <w:shd w:val="clear" w:color="auto" w:fill="BFBFBF"/>
            <w:vAlign w:val="center"/>
          </w:tcPr>
          <w:p w14:paraId="75F0F26C">
            <w:pPr>
              <w:rPr>
                <w:b/>
                <w:bCs/>
                <w:color w:val="000000"/>
                <w:sz w:val="18"/>
                <w:szCs w:val="18"/>
                <w:lang w:val="ro-RO"/>
              </w:rPr>
            </w:pPr>
          </w:p>
        </w:tc>
        <w:tc>
          <w:tcPr>
            <w:tcW w:w="548" w:type="pct"/>
            <w:vMerge w:val="continue"/>
            <w:tcBorders>
              <w:top w:val="single" w:color="auto" w:sz="4" w:space="0"/>
              <w:left w:val="single" w:color="auto" w:sz="4" w:space="0"/>
              <w:bottom w:val="single" w:color="000000" w:sz="4" w:space="0"/>
              <w:right w:val="single" w:color="auto" w:sz="4" w:space="0"/>
            </w:tcBorders>
            <w:shd w:val="clear" w:color="auto" w:fill="BFBFBF"/>
            <w:vAlign w:val="center"/>
          </w:tcPr>
          <w:p w14:paraId="3791146B">
            <w:pPr>
              <w:rPr>
                <w:b/>
                <w:bCs/>
                <w:color w:val="000000"/>
                <w:sz w:val="18"/>
                <w:szCs w:val="18"/>
                <w:lang w:val="ro-RO"/>
              </w:rPr>
            </w:pPr>
          </w:p>
        </w:tc>
      </w:tr>
      <w:tr w14:paraId="24BB3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shd w:val="clear" w:color="auto" w:fill="auto"/>
            <w:vAlign w:val="center"/>
          </w:tcPr>
          <w:p w14:paraId="64AB7F23">
            <w:pPr>
              <w:jc w:val="center"/>
              <w:rPr>
                <w:color w:val="000000"/>
                <w:sz w:val="18"/>
                <w:szCs w:val="18"/>
                <w:lang w:val="ro-RO"/>
              </w:rPr>
            </w:pPr>
            <w:r>
              <w:rPr>
                <w:color w:val="000000"/>
                <w:sz w:val="18"/>
                <w:szCs w:val="18"/>
                <w:lang w:val="ro-RO"/>
              </w:rPr>
              <w:t>1</w:t>
            </w:r>
          </w:p>
        </w:tc>
        <w:tc>
          <w:tcPr>
            <w:tcW w:w="4097" w:type="pct"/>
            <w:shd w:val="clear" w:color="000000" w:fill="FFFFFF"/>
            <w:vAlign w:val="center"/>
          </w:tcPr>
          <w:p w14:paraId="22393D34">
            <w:pPr>
              <w:rPr>
                <w:color w:val="000000"/>
                <w:sz w:val="18"/>
                <w:szCs w:val="18"/>
                <w:lang w:val="ro-RO"/>
              </w:rPr>
            </w:pPr>
            <w:r>
              <w:rPr>
                <w:color w:val="000000"/>
                <w:sz w:val="18"/>
                <w:szCs w:val="18"/>
                <w:lang w:val="ro-RO"/>
              </w:rPr>
              <w:t>Stativ partituri</w:t>
            </w:r>
          </w:p>
        </w:tc>
        <w:tc>
          <w:tcPr>
            <w:tcW w:w="548" w:type="pct"/>
            <w:shd w:val="clear" w:color="auto" w:fill="auto"/>
            <w:vAlign w:val="center"/>
          </w:tcPr>
          <w:p w14:paraId="08EDC56B">
            <w:pPr>
              <w:jc w:val="center"/>
              <w:rPr>
                <w:b/>
                <w:bCs/>
                <w:color w:val="000000"/>
                <w:sz w:val="18"/>
                <w:szCs w:val="18"/>
                <w:lang w:val="ro-RO"/>
              </w:rPr>
            </w:pPr>
            <w:r>
              <w:rPr>
                <w:b/>
                <w:bCs/>
                <w:color w:val="000000"/>
                <w:sz w:val="18"/>
                <w:szCs w:val="18"/>
                <w:lang w:val="ro-RO"/>
              </w:rPr>
              <w:t>23</w:t>
            </w:r>
          </w:p>
        </w:tc>
      </w:tr>
      <w:tr w14:paraId="305BB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shd w:val="clear" w:color="auto" w:fill="auto"/>
            <w:vAlign w:val="center"/>
          </w:tcPr>
          <w:p w14:paraId="3E6B39D6">
            <w:pPr>
              <w:jc w:val="center"/>
              <w:rPr>
                <w:color w:val="000000"/>
                <w:sz w:val="18"/>
                <w:szCs w:val="18"/>
                <w:lang w:val="ro-RO"/>
              </w:rPr>
            </w:pPr>
            <w:r>
              <w:rPr>
                <w:color w:val="000000"/>
                <w:sz w:val="18"/>
                <w:szCs w:val="18"/>
                <w:lang w:val="ro-RO"/>
              </w:rPr>
              <w:t>2</w:t>
            </w:r>
          </w:p>
        </w:tc>
        <w:tc>
          <w:tcPr>
            <w:tcW w:w="4097" w:type="pct"/>
            <w:shd w:val="clear" w:color="000000" w:fill="FFFFFF"/>
            <w:vAlign w:val="center"/>
          </w:tcPr>
          <w:p w14:paraId="329691BF">
            <w:pPr>
              <w:rPr>
                <w:color w:val="000000"/>
                <w:sz w:val="18"/>
                <w:szCs w:val="18"/>
                <w:lang w:val="ro-RO"/>
              </w:rPr>
            </w:pPr>
            <w:r>
              <w:rPr>
                <w:color w:val="000000"/>
                <w:sz w:val="18"/>
                <w:szCs w:val="18"/>
                <w:lang w:val="ro-RO"/>
              </w:rPr>
              <w:t>Scaun pentru pianină</w:t>
            </w:r>
          </w:p>
        </w:tc>
        <w:tc>
          <w:tcPr>
            <w:tcW w:w="548" w:type="pct"/>
            <w:shd w:val="clear" w:color="auto" w:fill="auto"/>
            <w:vAlign w:val="center"/>
          </w:tcPr>
          <w:p w14:paraId="55621F68">
            <w:pPr>
              <w:jc w:val="center"/>
              <w:rPr>
                <w:b/>
                <w:bCs/>
                <w:color w:val="000000"/>
                <w:sz w:val="18"/>
                <w:szCs w:val="18"/>
                <w:lang w:val="ro-RO"/>
              </w:rPr>
            </w:pPr>
            <w:r>
              <w:rPr>
                <w:b/>
                <w:bCs/>
                <w:color w:val="000000"/>
                <w:sz w:val="18"/>
                <w:szCs w:val="18"/>
                <w:lang w:val="ro-RO"/>
              </w:rPr>
              <w:t>5</w:t>
            </w:r>
          </w:p>
        </w:tc>
      </w:tr>
      <w:tr w14:paraId="765E2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shd w:val="clear" w:color="auto" w:fill="auto"/>
            <w:vAlign w:val="center"/>
          </w:tcPr>
          <w:p w14:paraId="4A5BBE5D">
            <w:pPr>
              <w:jc w:val="center"/>
              <w:rPr>
                <w:color w:val="000000"/>
                <w:sz w:val="18"/>
                <w:szCs w:val="18"/>
                <w:lang w:val="ro-RO"/>
              </w:rPr>
            </w:pPr>
            <w:r>
              <w:rPr>
                <w:color w:val="000000"/>
                <w:sz w:val="18"/>
                <w:szCs w:val="18"/>
                <w:lang w:val="ro-RO"/>
              </w:rPr>
              <w:t>3</w:t>
            </w:r>
          </w:p>
        </w:tc>
        <w:tc>
          <w:tcPr>
            <w:tcW w:w="4097" w:type="pct"/>
            <w:shd w:val="clear" w:color="000000" w:fill="FFFFFF"/>
            <w:vAlign w:val="center"/>
          </w:tcPr>
          <w:p w14:paraId="3CA2C848">
            <w:pPr>
              <w:rPr>
                <w:color w:val="000000"/>
                <w:sz w:val="18"/>
                <w:szCs w:val="18"/>
                <w:lang w:val="ro-RO"/>
              </w:rPr>
            </w:pPr>
            <w:r>
              <w:rPr>
                <w:color w:val="000000"/>
                <w:sz w:val="18"/>
                <w:szCs w:val="18"/>
                <w:lang w:val="ro-RO"/>
              </w:rPr>
              <w:t>Set vioară acustică 3/4</w:t>
            </w:r>
          </w:p>
        </w:tc>
        <w:tc>
          <w:tcPr>
            <w:tcW w:w="548" w:type="pct"/>
            <w:shd w:val="clear" w:color="auto" w:fill="auto"/>
            <w:vAlign w:val="center"/>
          </w:tcPr>
          <w:p w14:paraId="4BEA4B78">
            <w:pPr>
              <w:jc w:val="center"/>
              <w:rPr>
                <w:b/>
                <w:bCs/>
                <w:color w:val="000000"/>
                <w:sz w:val="18"/>
                <w:szCs w:val="18"/>
                <w:lang w:val="ro-RO"/>
              </w:rPr>
            </w:pPr>
            <w:r>
              <w:rPr>
                <w:b/>
                <w:bCs/>
                <w:color w:val="000000"/>
                <w:sz w:val="18"/>
                <w:szCs w:val="18"/>
                <w:lang w:val="ro-RO"/>
              </w:rPr>
              <w:t>2</w:t>
            </w:r>
          </w:p>
        </w:tc>
      </w:tr>
      <w:tr w14:paraId="7D269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shd w:val="clear" w:color="auto" w:fill="auto"/>
            <w:vAlign w:val="center"/>
          </w:tcPr>
          <w:p w14:paraId="153995DB">
            <w:pPr>
              <w:jc w:val="center"/>
              <w:rPr>
                <w:color w:val="000000"/>
                <w:sz w:val="18"/>
                <w:szCs w:val="18"/>
                <w:lang w:val="ro-RO"/>
              </w:rPr>
            </w:pPr>
            <w:r>
              <w:rPr>
                <w:color w:val="000000"/>
                <w:sz w:val="18"/>
                <w:szCs w:val="18"/>
                <w:lang w:val="ro-RO"/>
              </w:rPr>
              <w:t>4</w:t>
            </w:r>
          </w:p>
        </w:tc>
        <w:tc>
          <w:tcPr>
            <w:tcW w:w="4097" w:type="pct"/>
            <w:shd w:val="clear" w:color="000000" w:fill="FFFFFF"/>
            <w:vAlign w:val="center"/>
          </w:tcPr>
          <w:p w14:paraId="5D36BE4F">
            <w:pPr>
              <w:rPr>
                <w:color w:val="000000"/>
                <w:sz w:val="18"/>
                <w:szCs w:val="18"/>
                <w:lang w:val="ro-RO"/>
              </w:rPr>
            </w:pPr>
            <w:r>
              <w:rPr>
                <w:color w:val="000000"/>
                <w:sz w:val="18"/>
                <w:szCs w:val="18"/>
                <w:lang w:val="ro-RO"/>
              </w:rPr>
              <w:t>Set vioară acustică 1/4</w:t>
            </w:r>
          </w:p>
        </w:tc>
        <w:tc>
          <w:tcPr>
            <w:tcW w:w="548" w:type="pct"/>
            <w:shd w:val="clear" w:color="auto" w:fill="auto"/>
            <w:vAlign w:val="center"/>
          </w:tcPr>
          <w:p w14:paraId="182FCF0B">
            <w:pPr>
              <w:jc w:val="center"/>
              <w:rPr>
                <w:b/>
                <w:bCs/>
                <w:color w:val="000000"/>
                <w:sz w:val="18"/>
                <w:szCs w:val="18"/>
                <w:lang w:val="ro-RO"/>
              </w:rPr>
            </w:pPr>
            <w:r>
              <w:rPr>
                <w:b/>
                <w:bCs/>
                <w:color w:val="000000"/>
                <w:sz w:val="18"/>
                <w:szCs w:val="18"/>
                <w:lang w:val="ro-RO"/>
              </w:rPr>
              <w:t>1</w:t>
            </w:r>
          </w:p>
        </w:tc>
      </w:tr>
      <w:tr w14:paraId="6200C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shd w:val="clear" w:color="auto" w:fill="auto"/>
            <w:vAlign w:val="center"/>
          </w:tcPr>
          <w:p w14:paraId="4BF60379">
            <w:pPr>
              <w:jc w:val="center"/>
              <w:rPr>
                <w:color w:val="000000"/>
                <w:sz w:val="18"/>
                <w:szCs w:val="18"/>
                <w:lang w:val="ro-RO"/>
              </w:rPr>
            </w:pPr>
            <w:r>
              <w:rPr>
                <w:color w:val="000000"/>
                <w:sz w:val="18"/>
                <w:szCs w:val="18"/>
                <w:lang w:val="ro-RO"/>
              </w:rPr>
              <w:t>5</w:t>
            </w:r>
          </w:p>
        </w:tc>
        <w:tc>
          <w:tcPr>
            <w:tcW w:w="4097" w:type="pct"/>
            <w:shd w:val="clear" w:color="000000" w:fill="FFFFFF"/>
            <w:vAlign w:val="center"/>
          </w:tcPr>
          <w:p w14:paraId="37F00E9A">
            <w:pPr>
              <w:rPr>
                <w:color w:val="000000"/>
                <w:sz w:val="18"/>
                <w:szCs w:val="18"/>
                <w:lang w:val="ro-RO"/>
              </w:rPr>
            </w:pPr>
            <w:r>
              <w:rPr>
                <w:color w:val="000000"/>
                <w:sz w:val="18"/>
                <w:szCs w:val="18"/>
                <w:lang w:val="ro-RO"/>
              </w:rPr>
              <w:t>Set vioară acustică 1/2</w:t>
            </w:r>
          </w:p>
        </w:tc>
        <w:tc>
          <w:tcPr>
            <w:tcW w:w="548" w:type="pct"/>
            <w:shd w:val="clear" w:color="auto" w:fill="auto"/>
            <w:vAlign w:val="center"/>
          </w:tcPr>
          <w:p w14:paraId="0F6CF507">
            <w:pPr>
              <w:jc w:val="center"/>
              <w:rPr>
                <w:b/>
                <w:bCs/>
                <w:color w:val="000000"/>
                <w:sz w:val="18"/>
                <w:szCs w:val="18"/>
                <w:lang w:val="ro-RO"/>
              </w:rPr>
            </w:pPr>
            <w:r>
              <w:rPr>
                <w:b/>
                <w:bCs/>
                <w:color w:val="000000"/>
                <w:sz w:val="18"/>
                <w:szCs w:val="18"/>
                <w:lang w:val="ro-RO"/>
              </w:rPr>
              <w:t>2</w:t>
            </w:r>
          </w:p>
        </w:tc>
      </w:tr>
      <w:tr w14:paraId="18FC9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shd w:val="clear" w:color="auto" w:fill="auto"/>
            <w:vAlign w:val="center"/>
          </w:tcPr>
          <w:p w14:paraId="51FF6E3B">
            <w:pPr>
              <w:jc w:val="center"/>
              <w:rPr>
                <w:color w:val="000000"/>
                <w:sz w:val="18"/>
                <w:szCs w:val="18"/>
                <w:lang w:val="ro-RO"/>
              </w:rPr>
            </w:pPr>
            <w:r>
              <w:rPr>
                <w:color w:val="000000"/>
                <w:sz w:val="18"/>
                <w:szCs w:val="18"/>
                <w:lang w:val="ro-RO"/>
              </w:rPr>
              <w:t>6</w:t>
            </w:r>
          </w:p>
        </w:tc>
        <w:tc>
          <w:tcPr>
            <w:tcW w:w="4097" w:type="pct"/>
            <w:shd w:val="clear" w:color="000000" w:fill="FFFFFF"/>
            <w:vAlign w:val="center"/>
          </w:tcPr>
          <w:p w14:paraId="4F349E95">
            <w:pPr>
              <w:rPr>
                <w:color w:val="000000"/>
                <w:sz w:val="18"/>
                <w:szCs w:val="18"/>
                <w:lang w:val="ro-RO"/>
              </w:rPr>
            </w:pPr>
            <w:r>
              <w:rPr>
                <w:color w:val="000000"/>
                <w:sz w:val="18"/>
                <w:szCs w:val="18"/>
                <w:lang w:val="ro-RO"/>
              </w:rPr>
              <w:t>Clarinet 17/6</w:t>
            </w:r>
          </w:p>
        </w:tc>
        <w:tc>
          <w:tcPr>
            <w:tcW w:w="548" w:type="pct"/>
            <w:shd w:val="clear" w:color="auto" w:fill="auto"/>
            <w:vAlign w:val="center"/>
          </w:tcPr>
          <w:p w14:paraId="30B4891B">
            <w:pPr>
              <w:jc w:val="center"/>
              <w:rPr>
                <w:b/>
                <w:bCs/>
                <w:color w:val="000000"/>
                <w:sz w:val="18"/>
                <w:szCs w:val="18"/>
                <w:lang w:val="ro-RO"/>
              </w:rPr>
            </w:pPr>
            <w:r>
              <w:rPr>
                <w:b/>
                <w:bCs/>
                <w:color w:val="000000"/>
                <w:sz w:val="18"/>
                <w:szCs w:val="18"/>
                <w:lang w:val="ro-RO"/>
              </w:rPr>
              <w:t>1</w:t>
            </w:r>
          </w:p>
        </w:tc>
      </w:tr>
      <w:tr w14:paraId="19D72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shd w:val="clear" w:color="auto" w:fill="auto"/>
            <w:vAlign w:val="center"/>
          </w:tcPr>
          <w:p w14:paraId="2D00D873">
            <w:pPr>
              <w:jc w:val="center"/>
              <w:rPr>
                <w:color w:val="000000"/>
                <w:sz w:val="18"/>
                <w:szCs w:val="18"/>
                <w:lang w:val="ro-RO"/>
              </w:rPr>
            </w:pPr>
            <w:r>
              <w:rPr>
                <w:color w:val="000000"/>
                <w:sz w:val="18"/>
                <w:szCs w:val="18"/>
                <w:lang w:val="ro-RO"/>
              </w:rPr>
              <w:t>7</w:t>
            </w:r>
          </w:p>
        </w:tc>
        <w:tc>
          <w:tcPr>
            <w:tcW w:w="4097" w:type="pct"/>
            <w:shd w:val="clear" w:color="000000" w:fill="FFFFFF"/>
            <w:vAlign w:val="center"/>
          </w:tcPr>
          <w:p w14:paraId="147C720C">
            <w:pPr>
              <w:rPr>
                <w:color w:val="000000"/>
                <w:sz w:val="18"/>
                <w:szCs w:val="18"/>
                <w:lang w:val="ro-RO"/>
              </w:rPr>
            </w:pPr>
            <w:r>
              <w:rPr>
                <w:color w:val="000000"/>
                <w:sz w:val="18"/>
                <w:szCs w:val="18"/>
                <w:lang w:val="ro-RO"/>
              </w:rPr>
              <w:t>Flaut</w:t>
            </w:r>
          </w:p>
        </w:tc>
        <w:tc>
          <w:tcPr>
            <w:tcW w:w="548" w:type="pct"/>
            <w:shd w:val="clear" w:color="auto" w:fill="auto"/>
            <w:vAlign w:val="center"/>
          </w:tcPr>
          <w:p w14:paraId="052FE7AB">
            <w:pPr>
              <w:jc w:val="center"/>
              <w:rPr>
                <w:b/>
                <w:bCs/>
                <w:color w:val="000000"/>
                <w:sz w:val="18"/>
                <w:szCs w:val="18"/>
                <w:lang w:val="ro-RO"/>
              </w:rPr>
            </w:pPr>
            <w:r>
              <w:rPr>
                <w:b/>
                <w:bCs/>
                <w:color w:val="000000"/>
                <w:sz w:val="18"/>
                <w:szCs w:val="18"/>
                <w:lang w:val="ro-RO"/>
              </w:rPr>
              <w:t>1</w:t>
            </w:r>
          </w:p>
        </w:tc>
      </w:tr>
      <w:tr w14:paraId="6C51E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shd w:val="clear" w:color="auto" w:fill="auto"/>
            <w:vAlign w:val="center"/>
          </w:tcPr>
          <w:p w14:paraId="6EC62511">
            <w:pPr>
              <w:jc w:val="center"/>
              <w:rPr>
                <w:color w:val="000000"/>
                <w:sz w:val="18"/>
                <w:szCs w:val="18"/>
                <w:lang w:val="ro-RO"/>
              </w:rPr>
            </w:pPr>
            <w:r>
              <w:rPr>
                <w:color w:val="000000"/>
                <w:sz w:val="18"/>
                <w:szCs w:val="18"/>
                <w:lang w:val="ro-RO"/>
              </w:rPr>
              <w:t>8</w:t>
            </w:r>
          </w:p>
        </w:tc>
        <w:tc>
          <w:tcPr>
            <w:tcW w:w="4097" w:type="pct"/>
            <w:shd w:val="clear" w:color="000000" w:fill="FFFFFF"/>
            <w:vAlign w:val="center"/>
          </w:tcPr>
          <w:p w14:paraId="4288E6E6">
            <w:pPr>
              <w:rPr>
                <w:color w:val="000000"/>
                <w:sz w:val="18"/>
                <w:szCs w:val="18"/>
                <w:lang w:val="ro-RO"/>
              </w:rPr>
            </w:pPr>
            <w:r>
              <w:rPr>
                <w:color w:val="000000"/>
                <w:sz w:val="18"/>
                <w:szCs w:val="18"/>
                <w:lang w:val="ro-RO"/>
              </w:rPr>
              <w:t>Blockflote</w:t>
            </w:r>
          </w:p>
        </w:tc>
        <w:tc>
          <w:tcPr>
            <w:tcW w:w="548" w:type="pct"/>
            <w:shd w:val="clear" w:color="auto" w:fill="auto"/>
            <w:vAlign w:val="center"/>
          </w:tcPr>
          <w:p w14:paraId="190EEAC9">
            <w:pPr>
              <w:jc w:val="center"/>
              <w:rPr>
                <w:b/>
                <w:bCs/>
                <w:color w:val="000000"/>
                <w:sz w:val="18"/>
                <w:szCs w:val="18"/>
                <w:lang w:val="ro-RO"/>
              </w:rPr>
            </w:pPr>
            <w:r>
              <w:rPr>
                <w:b/>
                <w:bCs/>
                <w:color w:val="000000"/>
                <w:sz w:val="18"/>
                <w:szCs w:val="18"/>
                <w:lang w:val="ro-RO"/>
              </w:rPr>
              <w:t>5</w:t>
            </w:r>
          </w:p>
        </w:tc>
      </w:tr>
      <w:tr w14:paraId="62D31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shd w:val="clear" w:color="auto" w:fill="auto"/>
            <w:vAlign w:val="center"/>
          </w:tcPr>
          <w:p w14:paraId="1C99638F">
            <w:pPr>
              <w:jc w:val="center"/>
              <w:rPr>
                <w:color w:val="000000"/>
                <w:sz w:val="18"/>
                <w:szCs w:val="18"/>
                <w:lang w:val="ro-RO"/>
              </w:rPr>
            </w:pPr>
            <w:r>
              <w:rPr>
                <w:color w:val="000000"/>
                <w:sz w:val="18"/>
                <w:szCs w:val="18"/>
                <w:lang w:val="ro-RO"/>
              </w:rPr>
              <w:t>9</w:t>
            </w:r>
          </w:p>
        </w:tc>
        <w:tc>
          <w:tcPr>
            <w:tcW w:w="4097" w:type="pct"/>
            <w:shd w:val="clear" w:color="000000" w:fill="FFFFFF"/>
            <w:vAlign w:val="center"/>
          </w:tcPr>
          <w:p w14:paraId="438D1F78">
            <w:pPr>
              <w:rPr>
                <w:color w:val="000000"/>
                <w:sz w:val="18"/>
                <w:szCs w:val="18"/>
                <w:lang w:val="ro-RO"/>
              </w:rPr>
            </w:pPr>
            <w:r>
              <w:rPr>
                <w:color w:val="000000"/>
                <w:sz w:val="18"/>
                <w:szCs w:val="18"/>
                <w:lang w:val="ro-RO"/>
              </w:rPr>
              <w:t>Pianină mecanică</w:t>
            </w:r>
          </w:p>
        </w:tc>
        <w:tc>
          <w:tcPr>
            <w:tcW w:w="548" w:type="pct"/>
            <w:shd w:val="clear" w:color="auto" w:fill="auto"/>
            <w:vAlign w:val="center"/>
          </w:tcPr>
          <w:p w14:paraId="17FD131E">
            <w:pPr>
              <w:jc w:val="center"/>
              <w:rPr>
                <w:b/>
                <w:bCs/>
                <w:color w:val="000000"/>
                <w:sz w:val="18"/>
                <w:szCs w:val="18"/>
                <w:lang w:val="ro-RO"/>
              </w:rPr>
            </w:pPr>
            <w:r>
              <w:rPr>
                <w:b/>
                <w:bCs/>
                <w:color w:val="000000"/>
                <w:sz w:val="18"/>
                <w:szCs w:val="18"/>
                <w:lang w:val="ro-RO"/>
              </w:rPr>
              <w:t>2</w:t>
            </w:r>
          </w:p>
        </w:tc>
      </w:tr>
      <w:tr w14:paraId="26B28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shd w:val="clear" w:color="auto" w:fill="auto"/>
            <w:vAlign w:val="center"/>
          </w:tcPr>
          <w:p w14:paraId="56E050CA">
            <w:pPr>
              <w:jc w:val="center"/>
              <w:rPr>
                <w:color w:val="000000"/>
                <w:sz w:val="18"/>
                <w:szCs w:val="18"/>
                <w:lang w:val="ro-RO"/>
              </w:rPr>
            </w:pPr>
            <w:r>
              <w:rPr>
                <w:color w:val="000000"/>
                <w:sz w:val="18"/>
                <w:szCs w:val="18"/>
                <w:lang w:val="ro-RO"/>
              </w:rPr>
              <w:t>10</w:t>
            </w:r>
          </w:p>
        </w:tc>
        <w:tc>
          <w:tcPr>
            <w:tcW w:w="4097" w:type="pct"/>
            <w:shd w:val="clear" w:color="000000" w:fill="FFFFFF"/>
            <w:vAlign w:val="center"/>
          </w:tcPr>
          <w:p w14:paraId="76882F5E">
            <w:pPr>
              <w:rPr>
                <w:color w:val="000000"/>
                <w:sz w:val="18"/>
                <w:szCs w:val="18"/>
                <w:lang w:val="ro-RO"/>
              </w:rPr>
            </w:pPr>
            <w:r>
              <w:rPr>
                <w:color w:val="000000"/>
                <w:sz w:val="18"/>
                <w:szCs w:val="18"/>
                <w:lang w:val="ro-RO"/>
              </w:rPr>
              <w:t>Set vioară acustică 4/4</w:t>
            </w:r>
          </w:p>
        </w:tc>
        <w:tc>
          <w:tcPr>
            <w:tcW w:w="548" w:type="pct"/>
            <w:shd w:val="clear" w:color="auto" w:fill="auto"/>
            <w:vAlign w:val="center"/>
          </w:tcPr>
          <w:p w14:paraId="618E2F1E">
            <w:pPr>
              <w:jc w:val="center"/>
              <w:rPr>
                <w:b/>
                <w:bCs/>
                <w:color w:val="000000"/>
                <w:sz w:val="18"/>
                <w:szCs w:val="18"/>
                <w:lang w:val="ro-RO"/>
              </w:rPr>
            </w:pPr>
            <w:r>
              <w:rPr>
                <w:b/>
                <w:bCs/>
                <w:color w:val="000000"/>
                <w:sz w:val="18"/>
                <w:szCs w:val="18"/>
                <w:lang w:val="ro-RO"/>
              </w:rPr>
              <w:t>4</w:t>
            </w:r>
          </w:p>
        </w:tc>
      </w:tr>
      <w:tr w14:paraId="50447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shd w:val="clear" w:color="auto" w:fill="auto"/>
            <w:vAlign w:val="center"/>
          </w:tcPr>
          <w:p w14:paraId="2A4E501F">
            <w:pPr>
              <w:jc w:val="center"/>
              <w:rPr>
                <w:color w:val="000000"/>
                <w:sz w:val="18"/>
                <w:szCs w:val="18"/>
                <w:lang w:val="ro-RO"/>
              </w:rPr>
            </w:pPr>
            <w:r>
              <w:rPr>
                <w:color w:val="000000"/>
                <w:sz w:val="18"/>
                <w:szCs w:val="18"/>
                <w:lang w:val="ro-RO"/>
              </w:rPr>
              <w:t>11</w:t>
            </w:r>
          </w:p>
        </w:tc>
        <w:tc>
          <w:tcPr>
            <w:tcW w:w="4097" w:type="pct"/>
            <w:shd w:val="clear" w:color="000000" w:fill="FFFFFF"/>
            <w:vAlign w:val="center"/>
          </w:tcPr>
          <w:p w14:paraId="196479F9">
            <w:pPr>
              <w:rPr>
                <w:color w:val="000000"/>
                <w:sz w:val="18"/>
                <w:szCs w:val="18"/>
                <w:lang w:val="ro-RO"/>
              </w:rPr>
            </w:pPr>
            <w:r>
              <w:rPr>
                <w:color w:val="000000"/>
                <w:sz w:val="18"/>
                <w:szCs w:val="18"/>
                <w:lang w:val="ro-RO"/>
              </w:rPr>
              <w:t>Set cinele pentru tobe</w:t>
            </w:r>
          </w:p>
        </w:tc>
        <w:tc>
          <w:tcPr>
            <w:tcW w:w="548" w:type="pct"/>
            <w:shd w:val="clear" w:color="auto" w:fill="auto"/>
            <w:vAlign w:val="center"/>
          </w:tcPr>
          <w:p w14:paraId="3EA80E96">
            <w:pPr>
              <w:jc w:val="center"/>
              <w:rPr>
                <w:b/>
                <w:bCs/>
                <w:color w:val="000000"/>
                <w:sz w:val="18"/>
                <w:szCs w:val="18"/>
                <w:lang w:val="ro-RO"/>
              </w:rPr>
            </w:pPr>
            <w:r>
              <w:rPr>
                <w:b/>
                <w:bCs/>
                <w:color w:val="000000"/>
                <w:sz w:val="18"/>
                <w:szCs w:val="18"/>
                <w:lang w:val="ro-RO"/>
              </w:rPr>
              <w:t>1</w:t>
            </w:r>
          </w:p>
        </w:tc>
      </w:tr>
      <w:tr w14:paraId="56935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shd w:val="clear" w:color="auto" w:fill="auto"/>
            <w:vAlign w:val="center"/>
          </w:tcPr>
          <w:p w14:paraId="6D4DFDED">
            <w:pPr>
              <w:jc w:val="center"/>
              <w:rPr>
                <w:color w:val="000000"/>
                <w:sz w:val="18"/>
                <w:szCs w:val="18"/>
                <w:lang w:val="ro-RO"/>
              </w:rPr>
            </w:pPr>
            <w:r>
              <w:rPr>
                <w:color w:val="000000"/>
                <w:sz w:val="18"/>
                <w:szCs w:val="18"/>
                <w:lang w:val="ro-RO"/>
              </w:rPr>
              <w:t>12</w:t>
            </w:r>
          </w:p>
        </w:tc>
        <w:tc>
          <w:tcPr>
            <w:tcW w:w="4097" w:type="pct"/>
            <w:shd w:val="clear" w:color="000000" w:fill="FFFFFF"/>
            <w:vAlign w:val="center"/>
          </w:tcPr>
          <w:p w14:paraId="64135ADE">
            <w:pPr>
              <w:rPr>
                <w:color w:val="000000"/>
                <w:sz w:val="18"/>
                <w:szCs w:val="18"/>
                <w:lang w:val="ro-RO"/>
              </w:rPr>
            </w:pPr>
            <w:r>
              <w:rPr>
                <w:color w:val="000000"/>
                <w:sz w:val="18"/>
                <w:szCs w:val="18"/>
                <w:lang w:val="ro-RO"/>
              </w:rPr>
              <w:t>Microfon pentru vioară</w:t>
            </w:r>
          </w:p>
        </w:tc>
        <w:tc>
          <w:tcPr>
            <w:tcW w:w="548" w:type="pct"/>
            <w:shd w:val="clear" w:color="auto" w:fill="auto"/>
            <w:vAlign w:val="center"/>
          </w:tcPr>
          <w:p w14:paraId="5591D488">
            <w:pPr>
              <w:jc w:val="center"/>
              <w:rPr>
                <w:b/>
                <w:bCs/>
                <w:color w:val="000000"/>
                <w:sz w:val="18"/>
                <w:szCs w:val="18"/>
                <w:lang w:val="ro-RO"/>
              </w:rPr>
            </w:pPr>
            <w:r>
              <w:rPr>
                <w:b/>
                <w:bCs/>
                <w:color w:val="000000"/>
                <w:sz w:val="18"/>
                <w:szCs w:val="18"/>
                <w:lang w:val="ro-RO"/>
              </w:rPr>
              <w:t>2</w:t>
            </w:r>
          </w:p>
        </w:tc>
      </w:tr>
      <w:tr w14:paraId="6203A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shd w:val="clear" w:color="auto" w:fill="auto"/>
            <w:vAlign w:val="center"/>
          </w:tcPr>
          <w:p w14:paraId="6D5ADE1D">
            <w:pPr>
              <w:jc w:val="center"/>
              <w:rPr>
                <w:color w:val="000000"/>
                <w:sz w:val="18"/>
                <w:szCs w:val="18"/>
                <w:lang w:val="ro-RO"/>
              </w:rPr>
            </w:pPr>
            <w:r>
              <w:rPr>
                <w:color w:val="000000"/>
                <w:sz w:val="18"/>
                <w:szCs w:val="18"/>
                <w:lang w:val="ro-RO"/>
              </w:rPr>
              <w:t>13</w:t>
            </w:r>
          </w:p>
        </w:tc>
        <w:tc>
          <w:tcPr>
            <w:tcW w:w="4097" w:type="pct"/>
            <w:shd w:val="clear" w:color="000000" w:fill="FFFFFF"/>
            <w:vAlign w:val="center"/>
          </w:tcPr>
          <w:p w14:paraId="5207E0FD">
            <w:pPr>
              <w:rPr>
                <w:color w:val="000000"/>
                <w:sz w:val="18"/>
                <w:szCs w:val="18"/>
                <w:lang w:val="ro-RO"/>
              </w:rPr>
            </w:pPr>
            <w:r>
              <w:rPr>
                <w:color w:val="000000"/>
                <w:sz w:val="18"/>
                <w:szCs w:val="18"/>
                <w:lang w:val="ro-RO"/>
              </w:rPr>
              <w:t>Sistem wireless chitară</w:t>
            </w:r>
          </w:p>
        </w:tc>
        <w:tc>
          <w:tcPr>
            <w:tcW w:w="548" w:type="pct"/>
            <w:shd w:val="clear" w:color="auto" w:fill="auto"/>
            <w:vAlign w:val="center"/>
          </w:tcPr>
          <w:p w14:paraId="134F3DD4">
            <w:pPr>
              <w:jc w:val="center"/>
              <w:rPr>
                <w:b/>
                <w:bCs/>
                <w:color w:val="000000"/>
                <w:sz w:val="18"/>
                <w:szCs w:val="18"/>
                <w:lang w:val="ro-RO"/>
              </w:rPr>
            </w:pPr>
            <w:r>
              <w:rPr>
                <w:b/>
                <w:bCs/>
                <w:color w:val="000000"/>
                <w:sz w:val="18"/>
                <w:szCs w:val="18"/>
                <w:lang w:val="ro-RO"/>
              </w:rPr>
              <w:t>2</w:t>
            </w:r>
          </w:p>
        </w:tc>
      </w:tr>
      <w:tr w14:paraId="53640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shd w:val="clear" w:color="auto" w:fill="auto"/>
            <w:vAlign w:val="center"/>
          </w:tcPr>
          <w:p w14:paraId="40545093">
            <w:pPr>
              <w:jc w:val="center"/>
              <w:rPr>
                <w:color w:val="000000"/>
                <w:sz w:val="18"/>
                <w:szCs w:val="18"/>
                <w:lang w:val="ro-RO"/>
              </w:rPr>
            </w:pPr>
            <w:r>
              <w:rPr>
                <w:color w:val="000000"/>
                <w:sz w:val="18"/>
                <w:szCs w:val="18"/>
                <w:lang w:val="ro-RO"/>
              </w:rPr>
              <w:t>14</w:t>
            </w:r>
          </w:p>
        </w:tc>
        <w:tc>
          <w:tcPr>
            <w:tcW w:w="4097" w:type="pct"/>
            <w:shd w:val="clear" w:color="000000" w:fill="FFFFFF"/>
            <w:vAlign w:val="center"/>
          </w:tcPr>
          <w:p w14:paraId="7DA3F4E9">
            <w:pPr>
              <w:rPr>
                <w:color w:val="000000"/>
                <w:sz w:val="18"/>
                <w:szCs w:val="18"/>
                <w:lang w:val="ro-RO"/>
              </w:rPr>
            </w:pPr>
            <w:r>
              <w:rPr>
                <w:color w:val="000000"/>
                <w:sz w:val="18"/>
                <w:szCs w:val="18"/>
                <w:lang w:val="ro-RO"/>
              </w:rPr>
              <w:t>Set tobe acustice</w:t>
            </w:r>
          </w:p>
        </w:tc>
        <w:tc>
          <w:tcPr>
            <w:tcW w:w="548" w:type="pct"/>
            <w:shd w:val="clear" w:color="auto" w:fill="auto"/>
            <w:vAlign w:val="center"/>
          </w:tcPr>
          <w:p w14:paraId="15F782DC">
            <w:pPr>
              <w:jc w:val="center"/>
              <w:rPr>
                <w:b/>
                <w:bCs/>
                <w:color w:val="000000"/>
                <w:sz w:val="18"/>
                <w:szCs w:val="18"/>
                <w:lang w:val="ro-RO"/>
              </w:rPr>
            </w:pPr>
            <w:r>
              <w:rPr>
                <w:b/>
                <w:bCs/>
                <w:color w:val="000000"/>
                <w:sz w:val="18"/>
                <w:szCs w:val="18"/>
                <w:lang w:val="ro-RO"/>
              </w:rPr>
              <w:t>1</w:t>
            </w:r>
          </w:p>
        </w:tc>
      </w:tr>
      <w:tr w14:paraId="77A79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shd w:val="clear" w:color="auto" w:fill="auto"/>
            <w:vAlign w:val="center"/>
          </w:tcPr>
          <w:p w14:paraId="3E919B9E">
            <w:pPr>
              <w:jc w:val="center"/>
              <w:rPr>
                <w:color w:val="000000"/>
                <w:sz w:val="18"/>
                <w:szCs w:val="18"/>
                <w:lang w:val="ro-RO"/>
              </w:rPr>
            </w:pPr>
            <w:r>
              <w:rPr>
                <w:color w:val="000000"/>
                <w:sz w:val="18"/>
                <w:szCs w:val="18"/>
                <w:lang w:val="ro-RO"/>
              </w:rPr>
              <w:t>15</w:t>
            </w:r>
          </w:p>
        </w:tc>
        <w:tc>
          <w:tcPr>
            <w:tcW w:w="4097" w:type="pct"/>
            <w:shd w:val="clear" w:color="000000" w:fill="FFFFFF"/>
            <w:vAlign w:val="center"/>
          </w:tcPr>
          <w:p w14:paraId="730BD749">
            <w:pPr>
              <w:rPr>
                <w:color w:val="000000"/>
                <w:sz w:val="18"/>
                <w:szCs w:val="18"/>
                <w:lang w:val="ro-RO"/>
              </w:rPr>
            </w:pPr>
            <w:r>
              <w:rPr>
                <w:color w:val="000000"/>
                <w:sz w:val="18"/>
                <w:szCs w:val="18"/>
                <w:lang w:val="ro-RO"/>
              </w:rPr>
              <w:t>Instrument de percuție</w:t>
            </w:r>
          </w:p>
        </w:tc>
        <w:tc>
          <w:tcPr>
            <w:tcW w:w="548" w:type="pct"/>
            <w:shd w:val="clear" w:color="auto" w:fill="auto"/>
            <w:vAlign w:val="center"/>
          </w:tcPr>
          <w:p w14:paraId="284EF206">
            <w:pPr>
              <w:jc w:val="center"/>
              <w:rPr>
                <w:b/>
                <w:bCs/>
                <w:color w:val="000000"/>
                <w:sz w:val="18"/>
                <w:szCs w:val="18"/>
                <w:lang w:val="ro-RO"/>
              </w:rPr>
            </w:pPr>
            <w:r>
              <w:rPr>
                <w:b/>
                <w:bCs/>
                <w:color w:val="000000"/>
                <w:sz w:val="18"/>
                <w:szCs w:val="18"/>
                <w:lang w:val="ro-RO"/>
              </w:rPr>
              <w:t>1</w:t>
            </w:r>
          </w:p>
        </w:tc>
      </w:tr>
      <w:tr w14:paraId="076FB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shd w:val="clear" w:color="auto" w:fill="auto"/>
            <w:vAlign w:val="center"/>
          </w:tcPr>
          <w:p w14:paraId="733B75A1">
            <w:pPr>
              <w:jc w:val="center"/>
              <w:rPr>
                <w:color w:val="000000"/>
                <w:sz w:val="18"/>
                <w:szCs w:val="18"/>
                <w:lang w:val="ro-RO"/>
              </w:rPr>
            </w:pPr>
            <w:r>
              <w:rPr>
                <w:color w:val="000000"/>
                <w:sz w:val="18"/>
                <w:szCs w:val="18"/>
                <w:lang w:val="ro-RO"/>
              </w:rPr>
              <w:t>16</w:t>
            </w:r>
          </w:p>
        </w:tc>
        <w:tc>
          <w:tcPr>
            <w:tcW w:w="4097" w:type="pct"/>
            <w:shd w:val="clear" w:color="000000" w:fill="FFFFFF"/>
            <w:vAlign w:val="center"/>
          </w:tcPr>
          <w:p w14:paraId="4B1C88D0">
            <w:pPr>
              <w:rPr>
                <w:color w:val="000000"/>
                <w:sz w:val="18"/>
                <w:szCs w:val="18"/>
                <w:lang w:val="ro-RO"/>
              </w:rPr>
            </w:pPr>
            <w:r>
              <w:rPr>
                <w:color w:val="000000"/>
                <w:sz w:val="18"/>
                <w:szCs w:val="18"/>
                <w:lang w:val="ro-RO"/>
              </w:rPr>
              <w:t>Soluție videoconferință all-in-one cu stand mobil</w:t>
            </w:r>
          </w:p>
        </w:tc>
        <w:tc>
          <w:tcPr>
            <w:tcW w:w="548" w:type="pct"/>
            <w:shd w:val="clear" w:color="auto" w:fill="auto"/>
            <w:vAlign w:val="center"/>
          </w:tcPr>
          <w:p w14:paraId="20B97FFC">
            <w:pPr>
              <w:jc w:val="center"/>
              <w:rPr>
                <w:b/>
                <w:bCs/>
                <w:color w:val="000000"/>
                <w:sz w:val="18"/>
                <w:szCs w:val="18"/>
                <w:lang w:val="ro-RO"/>
              </w:rPr>
            </w:pPr>
            <w:r>
              <w:rPr>
                <w:b/>
                <w:bCs/>
                <w:color w:val="000000"/>
                <w:sz w:val="18"/>
                <w:szCs w:val="18"/>
                <w:lang w:val="ro-RO"/>
              </w:rPr>
              <w:t>1</w:t>
            </w:r>
          </w:p>
        </w:tc>
      </w:tr>
    </w:tbl>
    <w:p w14:paraId="52153F24">
      <w:pPr>
        <w:rPr>
          <w:spacing w:val="-6"/>
          <w:sz w:val="28"/>
          <w:szCs w:val="28"/>
          <w:lang w:val="ro-RO"/>
        </w:rPr>
      </w:pPr>
    </w:p>
    <w:p w14:paraId="08528BD1">
      <w:pPr>
        <w:pStyle w:val="28"/>
        <w:spacing w:before="120" w:after="120" w:line="240" w:lineRule="auto"/>
        <w:ind w:firstLine="0"/>
        <w:rPr>
          <w:sz w:val="22"/>
          <w:szCs w:val="22"/>
        </w:rPr>
      </w:pPr>
      <w:r>
        <w:rPr>
          <w:sz w:val="22"/>
          <w:szCs w:val="22"/>
        </w:rPr>
        <w:t xml:space="preserve">Repartizarea materialelor didactice pe Beneficiari reali (unități de învățământ) la nivelul Municipiului Slobozia, se regăsește în </w:t>
      </w:r>
      <w:r>
        <w:rPr>
          <w:b/>
          <w:bCs/>
          <w:sz w:val="22"/>
          <w:szCs w:val="22"/>
        </w:rPr>
        <w:t>Anexa 1 – Centralizator materiale didactice</w:t>
      </w:r>
      <w:r>
        <w:rPr>
          <w:sz w:val="22"/>
          <w:szCs w:val="22"/>
        </w:rPr>
        <w:t>.</w:t>
      </w:r>
    </w:p>
    <w:p w14:paraId="61CA7CE8">
      <w:pPr>
        <w:pStyle w:val="28"/>
        <w:spacing w:before="120" w:after="120" w:line="240" w:lineRule="auto"/>
        <w:ind w:firstLine="0"/>
        <w:rPr>
          <w:b/>
          <w:bCs/>
          <w:sz w:val="22"/>
          <w:szCs w:val="22"/>
        </w:rPr>
      </w:pPr>
      <w:r>
        <w:rPr>
          <w:sz w:val="22"/>
          <w:szCs w:val="22"/>
        </w:rPr>
        <w:t xml:space="preserve">Specificațiile tehnice minimale ale produselor se regăsesc în conținutul prezentului caiet de sarcini, </w:t>
      </w:r>
      <w:r>
        <w:rPr>
          <w:b/>
          <w:bCs/>
          <w:sz w:val="22"/>
          <w:szCs w:val="22"/>
        </w:rPr>
        <w:t>Secțiunea 3.3.1.</w:t>
      </w:r>
    </w:p>
    <w:p w14:paraId="3026C206">
      <w:pPr>
        <w:pStyle w:val="28"/>
        <w:spacing w:before="120" w:after="120" w:line="240" w:lineRule="auto"/>
        <w:ind w:firstLine="0"/>
        <w:rPr>
          <w:sz w:val="22"/>
          <w:szCs w:val="22"/>
        </w:rPr>
      </w:pPr>
    </w:p>
    <w:p w14:paraId="59EE2FAD">
      <w:pPr>
        <w:pStyle w:val="4"/>
        <w:numPr>
          <w:ilvl w:val="1"/>
          <w:numId w:val="3"/>
        </w:numPr>
        <w:spacing w:before="120" w:after="120" w:line="240" w:lineRule="auto"/>
        <w:contextualSpacing w:val="0"/>
        <w:rPr>
          <w:sz w:val="22"/>
          <w:szCs w:val="22"/>
          <w:lang w:val="ro-RO"/>
        </w:rPr>
      </w:pPr>
      <w:bookmarkStart w:id="7" w:name="_Toc20368"/>
      <w:r>
        <w:rPr>
          <w:sz w:val="22"/>
          <w:szCs w:val="22"/>
          <w:lang w:val="ro-RO"/>
        </w:rPr>
        <w:t>Informații despre beneficiile anticipate de către autoritatea contractantă</w:t>
      </w:r>
      <w:bookmarkEnd w:id="7"/>
    </w:p>
    <w:p w14:paraId="21A7F556">
      <w:pPr>
        <w:pStyle w:val="28"/>
        <w:spacing w:before="120" w:after="120" w:line="240" w:lineRule="auto"/>
        <w:ind w:firstLine="0"/>
        <w:rPr>
          <w:sz w:val="22"/>
          <w:szCs w:val="22"/>
        </w:rPr>
      </w:pPr>
      <w:r>
        <w:rPr>
          <w:sz w:val="22"/>
          <w:szCs w:val="22"/>
        </w:rPr>
        <w:t>Principalele beneficii așteptate de către Autoritatea Contractantă vizează creșterea accesibilității actului didactic, modernizarea infrastructurii educaționale, diminuarea impactului negativ al situațiilor de imposibilitate a desfășurării actului didactic în format fizic, alinierea la cerințele moderne în materie de educație, îndeplinirea standardelor de calitate în educație la nivelul unităților de învățământ și unităților conexe din Municipiul Slobozia.</w:t>
      </w:r>
    </w:p>
    <w:p w14:paraId="437BB6E3">
      <w:pPr>
        <w:pStyle w:val="28"/>
        <w:spacing w:before="120" w:after="120" w:line="240" w:lineRule="auto"/>
        <w:ind w:firstLine="0"/>
        <w:rPr>
          <w:sz w:val="22"/>
          <w:szCs w:val="22"/>
        </w:rPr>
      </w:pPr>
    </w:p>
    <w:p w14:paraId="7C2409B6">
      <w:pPr>
        <w:pStyle w:val="4"/>
        <w:numPr>
          <w:ilvl w:val="1"/>
          <w:numId w:val="3"/>
        </w:numPr>
        <w:spacing w:before="120" w:after="120" w:line="240" w:lineRule="auto"/>
        <w:contextualSpacing w:val="0"/>
        <w:rPr>
          <w:sz w:val="22"/>
          <w:szCs w:val="22"/>
          <w:lang w:val="ro-RO"/>
        </w:rPr>
      </w:pPr>
      <w:bookmarkStart w:id="8" w:name="_Toc1994"/>
      <w:r>
        <w:rPr>
          <w:sz w:val="22"/>
          <w:szCs w:val="22"/>
          <w:lang w:val="ro-RO"/>
        </w:rPr>
        <w:t>Alte inițiative/proiecte/programe asociate cu această achiziție de produse</w:t>
      </w:r>
      <w:bookmarkEnd w:id="8"/>
    </w:p>
    <w:p w14:paraId="0D9596DD">
      <w:pPr>
        <w:jc w:val="both"/>
        <w:rPr>
          <w:sz w:val="22"/>
          <w:szCs w:val="22"/>
          <w:lang w:val="ro-RO" w:eastAsia="ro-RO" w:bidi="ro-RO"/>
        </w:rPr>
      </w:pPr>
      <w:r>
        <w:rPr>
          <w:sz w:val="22"/>
          <w:szCs w:val="22"/>
          <w:lang w:val="ro-RO" w:eastAsia="ro-RO" w:bidi="ro-RO"/>
        </w:rPr>
        <w:t>În cadrul aceluiași proiect este prevăzută dotarea unităților de învățământ cu echipamente IT, respectiv cu mobilier, pentru a asigura modernizarea integrală a actului didactic la nivelul unităților de învățământ din Municipiul Slobozia.</w:t>
      </w:r>
    </w:p>
    <w:p w14:paraId="3EC9469F">
      <w:pPr>
        <w:jc w:val="both"/>
        <w:rPr>
          <w:sz w:val="22"/>
          <w:szCs w:val="22"/>
          <w:lang w:val="ro-RO" w:eastAsia="ro-RO" w:bidi="ro-RO"/>
        </w:rPr>
      </w:pPr>
    </w:p>
    <w:p w14:paraId="4AA70D4A">
      <w:pPr>
        <w:pStyle w:val="4"/>
        <w:numPr>
          <w:ilvl w:val="1"/>
          <w:numId w:val="3"/>
        </w:numPr>
        <w:spacing w:before="120" w:after="120" w:line="240" w:lineRule="auto"/>
        <w:contextualSpacing w:val="0"/>
        <w:rPr>
          <w:sz w:val="22"/>
          <w:szCs w:val="22"/>
          <w:lang w:val="ro-RO"/>
        </w:rPr>
      </w:pPr>
      <w:bookmarkStart w:id="9" w:name="_Toc27758"/>
      <w:r>
        <w:rPr>
          <w:sz w:val="22"/>
          <w:szCs w:val="22"/>
          <w:lang w:val="ro-RO"/>
        </w:rPr>
        <w:t>Cadrul general al sectorului în care autoritatea contractantă își desfășoară activitatea</w:t>
      </w:r>
      <w:bookmarkEnd w:id="9"/>
    </w:p>
    <w:p w14:paraId="05B5AD53">
      <w:pPr>
        <w:spacing w:before="120" w:after="120"/>
        <w:jc w:val="both"/>
        <w:rPr>
          <w:sz w:val="22"/>
          <w:szCs w:val="22"/>
          <w:lang w:val="ro-RO" w:eastAsia="ro-RO" w:bidi="ro-RO"/>
        </w:rPr>
      </w:pPr>
      <w:r>
        <w:rPr>
          <w:sz w:val="22"/>
          <w:szCs w:val="22"/>
          <w:lang w:val="ro-RO" w:eastAsia="ro-RO" w:bidi="ro-RO"/>
        </w:rPr>
        <w:t>Autoritatea contractantă va derula achiziția pentru îmbunătățirea performanțelor unor instituții subordonate, cu activitate relevantă în domeniul educației preuniversitare.</w:t>
      </w:r>
    </w:p>
    <w:p w14:paraId="25C6E9AC">
      <w:pPr>
        <w:spacing w:before="120" w:after="120"/>
        <w:jc w:val="both"/>
        <w:rPr>
          <w:sz w:val="22"/>
          <w:szCs w:val="22"/>
          <w:lang w:val="ro-RO" w:eastAsia="ro-RO" w:bidi="ro-RO"/>
        </w:rPr>
      </w:pPr>
      <w:r>
        <w:rPr>
          <w:sz w:val="22"/>
          <w:szCs w:val="22"/>
          <w:lang w:val="ro-RO" w:eastAsia="ro-RO" w:bidi="ro-RO"/>
        </w:rPr>
        <w:t xml:space="preserve">Achiziția intervine în contextul accesării unei finanțări nerambursabile în cadrul </w:t>
      </w:r>
      <w:r>
        <w:rPr>
          <w:sz w:val="22"/>
          <w:szCs w:val="22"/>
          <w:lang w:val="ro-RO"/>
        </w:rPr>
        <w:t xml:space="preserve">Planului Național de Redresare și Reziliență, Pilonul VI. </w:t>
      </w:r>
      <w:r>
        <w:rPr>
          <w:i/>
          <w:iCs/>
          <w:sz w:val="22"/>
          <w:szCs w:val="22"/>
          <w:lang w:val="ro-RO"/>
        </w:rPr>
        <w:t>Politici pentru noua generație</w:t>
      </w:r>
      <w:r>
        <w:rPr>
          <w:sz w:val="22"/>
          <w:szCs w:val="22"/>
          <w:lang w:val="ro-RO"/>
        </w:rPr>
        <w:t xml:space="preserve"> - Componenta C15:</w:t>
      </w:r>
      <w:r>
        <w:rPr>
          <w:i/>
          <w:iCs/>
          <w:sz w:val="22"/>
          <w:szCs w:val="22"/>
          <w:lang w:val="ro-RO"/>
        </w:rPr>
        <w:t>Educație</w:t>
      </w:r>
      <w:r>
        <w:rPr>
          <w:sz w:val="22"/>
          <w:szCs w:val="22"/>
          <w:lang w:val="ro-RO"/>
        </w:rPr>
        <w:t xml:space="preserve"> - Apelul de proiecte: </w:t>
      </w:r>
      <w:r>
        <w:rPr>
          <w:i/>
          <w:iCs/>
          <w:sz w:val="22"/>
          <w:szCs w:val="22"/>
          <w:lang w:val="ro-RO"/>
        </w:rPr>
        <w:t>F-PNRR-Dotari-2023-Dotarea cu mobilier, materiale didactice și echipamente digitale a unităților de învățământ preuniversitar și a unităților conexe</w:t>
      </w:r>
      <w:r>
        <w:rPr>
          <w:sz w:val="22"/>
          <w:szCs w:val="22"/>
          <w:lang w:val="ro-RO"/>
        </w:rPr>
        <w:t xml:space="preserve">, pentru proiectul </w:t>
      </w:r>
      <w:r>
        <w:rPr>
          <w:b/>
          <w:bCs/>
          <w:sz w:val="22"/>
          <w:szCs w:val="22"/>
          <w:lang w:val="ro-RO"/>
        </w:rPr>
        <w:t>„Dotarea unităților de învățământ preuniversitar și a unităților conexe din Municipiul Slobozia”</w:t>
      </w:r>
      <w:r>
        <w:rPr>
          <w:sz w:val="22"/>
          <w:szCs w:val="22"/>
          <w:lang w:val="ro-RO" w:eastAsia="ro-RO" w:bidi="ro-RO"/>
        </w:rPr>
        <w:t xml:space="preserve"> .</w:t>
      </w:r>
    </w:p>
    <w:p w14:paraId="5AFF3EE1">
      <w:pPr>
        <w:spacing w:before="120" w:after="120"/>
        <w:jc w:val="both"/>
        <w:rPr>
          <w:sz w:val="22"/>
          <w:szCs w:val="22"/>
          <w:lang w:val="ro-RO" w:eastAsia="ro-RO" w:bidi="ro-RO"/>
        </w:rPr>
      </w:pPr>
    </w:p>
    <w:p w14:paraId="0D1C1DF3">
      <w:pPr>
        <w:pStyle w:val="4"/>
        <w:numPr>
          <w:ilvl w:val="1"/>
          <w:numId w:val="3"/>
        </w:numPr>
        <w:spacing w:before="120" w:after="120" w:line="240" w:lineRule="auto"/>
        <w:contextualSpacing w:val="0"/>
        <w:rPr>
          <w:sz w:val="22"/>
          <w:szCs w:val="22"/>
          <w:lang w:val="ro-RO"/>
        </w:rPr>
      </w:pPr>
      <w:bookmarkStart w:id="10" w:name="_Toc8184"/>
      <w:r>
        <w:rPr>
          <w:sz w:val="22"/>
          <w:szCs w:val="22"/>
          <w:lang w:val="ro-RO"/>
        </w:rPr>
        <w:t>Factori interesați și rolul acestora</w:t>
      </w:r>
      <w:bookmarkEnd w:id="10"/>
    </w:p>
    <w:p w14:paraId="0AB5AF73">
      <w:pPr>
        <w:jc w:val="both"/>
        <w:rPr>
          <w:sz w:val="22"/>
          <w:szCs w:val="22"/>
          <w:lang w:val="ro-RO" w:eastAsia="ro-RO" w:bidi="ro-RO"/>
        </w:rPr>
      </w:pPr>
      <w:r>
        <w:rPr>
          <w:sz w:val="22"/>
          <w:szCs w:val="22"/>
          <w:lang w:val="ro-RO" w:eastAsia="ro-RO" w:bidi="ro-RO"/>
        </w:rPr>
        <w:t>Proiectul se va implementa în România, Regiunea Sud - Muntenia, în Județul Ialomița, Municipiul Slobozia, Str. Episcopiei nr. 1. Unitățile de învățământ, respectiv unitățile conexe vizate prin prezentul proiect sunt amplasate în Municipiul Slobozia după cum urmează:</w:t>
      </w:r>
    </w:p>
    <w:p w14:paraId="77187CC8">
      <w:pPr>
        <w:ind w:left="1701" w:right="1134"/>
        <w:jc w:val="both"/>
        <w:rPr>
          <w:sz w:val="22"/>
          <w:szCs w:val="22"/>
          <w:lang w:val="ro-RO" w:eastAsia="ro-RO" w:bidi="ro-RO"/>
        </w:rPr>
      </w:pPr>
    </w:p>
    <w:tbl>
      <w:tblPr>
        <w:tblStyle w:val="8"/>
        <w:tblW w:w="502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80"/>
        <w:gridCol w:w="4292"/>
        <w:gridCol w:w="4933"/>
      </w:tblGrid>
      <w:tr w14:paraId="42C7D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2" w:hRule="atLeast"/>
        </w:trPr>
        <w:tc>
          <w:tcPr>
            <w:tcW w:w="296" w:type="pct"/>
            <w:vAlign w:val="center"/>
          </w:tcPr>
          <w:p w14:paraId="0177F2BB">
            <w:pPr>
              <w:pStyle w:val="64"/>
              <w:ind w:left="107"/>
              <w:jc w:val="center"/>
              <w:rPr>
                <w:rFonts w:ascii="Times New Roman" w:hAnsi="Times New Roman" w:cs="Times New Roman"/>
                <w:b/>
                <w:bCs/>
                <w:sz w:val="22"/>
                <w:szCs w:val="22"/>
              </w:rPr>
            </w:pPr>
            <w:r>
              <w:rPr>
                <w:rFonts w:ascii="Times New Roman" w:hAnsi="Times New Roman" w:cs="Times New Roman"/>
                <w:b/>
                <w:bCs/>
                <w:sz w:val="22"/>
                <w:szCs w:val="22"/>
              </w:rPr>
              <w:t>Nr. Crt.</w:t>
            </w:r>
          </w:p>
        </w:tc>
        <w:tc>
          <w:tcPr>
            <w:tcW w:w="2188" w:type="pct"/>
            <w:vAlign w:val="center"/>
          </w:tcPr>
          <w:p w14:paraId="71A79CF6">
            <w:pPr>
              <w:pStyle w:val="64"/>
              <w:ind w:left="107"/>
              <w:jc w:val="center"/>
              <w:rPr>
                <w:rFonts w:ascii="Times New Roman" w:hAnsi="Times New Roman" w:cs="Times New Roman"/>
                <w:b/>
                <w:bCs/>
                <w:sz w:val="22"/>
                <w:szCs w:val="22"/>
              </w:rPr>
            </w:pPr>
            <w:r>
              <w:rPr>
                <w:rFonts w:ascii="Times New Roman" w:hAnsi="Times New Roman" w:cs="Times New Roman"/>
                <w:b/>
                <w:bCs/>
                <w:sz w:val="22"/>
                <w:szCs w:val="22"/>
              </w:rPr>
              <w:t>Unitatea de învățământ</w:t>
            </w:r>
          </w:p>
        </w:tc>
        <w:tc>
          <w:tcPr>
            <w:tcW w:w="2515" w:type="pct"/>
            <w:vAlign w:val="center"/>
          </w:tcPr>
          <w:p w14:paraId="463D8FF1">
            <w:pPr>
              <w:pStyle w:val="64"/>
              <w:ind w:left="107"/>
              <w:jc w:val="center"/>
              <w:rPr>
                <w:rFonts w:ascii="Times New Roman" w:hAnsi="Times New Roman" w:cs="Times New Roman"/>
                <w:b/>
                <w:bCs/>
                <w:sz w:val="22"/>
                <w:szCs w:val="22"/>
              </w:rPr>
            </w:pPr>
            <w:r>
              <w:rPr>
                <w:rFonts w:ascii="Times New Roman" w:hAnsi="Times New Roman" w:cs="Times New Roman"/>
                <w:b/>
                <w:bCs/>
                <w:sz w:val="22"/>
                <w:szCs w:val="22"/>
              </w:rPr>
              <w:t>Adresă</w:t>
            </w:r>
          </w:p>
        </w:tc>
      </w:tr>
      <w:tr w14:paraId="6876D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96" w:type="pct"/>
            <w:vAlign w:val="center"/>
          </w:tcPr>
          <w:p w14:paraId="5D8C0933">
            <w:pPr>
              <w:pStyle w:val="64"/>
              <w:ind w:left="107"/>
              <w:jc w:val="both"/>
              <w:rPr>
                <w:rFonts w:hint="default" w:ascii="Times New Roman" w:hAnsi="Times New Roman" w:cs="Times New Roman"/>
                <w:spacing w:val="-6"/>
                <w:sz w:val="22"/>
                <w:szCs w:val="22"/>
                <w:lang w:val="en-US"/>
              </w:rPr>
            </w:pPr>
            <w:r>
              <w:rPr>
                <w:rFonts w:hint="default" w:ascii="Times New Roman" w:hAnsi="Times New Roman" w:cs="Times New Roman"/>
                <w:spacing w:val="-6"/>
                <w:sz w:val="22"/>
                <w:szCs w:val="22"/>
                <w:lang w:val="en-US"/>
              </w:rPr>
              <w:t>1</w:t>
            </w:r>
          </w:p>
        </w:tc>
        <w:tc>
          <w:tcPr>
            <w:tcW w:w="2188" w:type="pct"/>
            <w:vAlign w:val="center"/>
          </w:tcPr>
          <w:p w14:paraId="6049C2EA">
            <w:pPr>
              <w:pStyle w:val="64"/>
              <w:ind w:left="107" w:right="135"/>
              <w:rPr>
                <w:rFonts w:ascii="Times New Roman" w:hAnsi="Times New Roman" w:cs="Times New Roman"/>
                <w:spacing w:val="-6"/>
                <w:sz w:val="22"/>
                <w:szCs w:val="22"/>
              </w:rPr>
            </w:pPr>
            <w:r>
              <w:rPr>
                <w:rFonts w:ascii="Times New Roman" w:hAnsi="Times New Roman" w:cs="Times New Roman"/>
                <w:spacing w:val="-6"/>
                <w:sz w:val="22"/>
                <w:szCs w:val="22"/>
              </w:rPr>
              <w:t>Liceul de Arte „Ionel Perlea”</w:t>
            </w:r>
          </w:p>
        </w:tc>
        <w:tc>
          <w:tcPr>
            <w:tcW w:w="2515" w:type="pct"/>
            <w:vAlign w:val="center"/>
          </w:tcPr>
          <w:p w14:paraId="08C77F9A">
            <w:pPr>
              <w:pStyle w:val="64"/>
              <w:ind w:left="107" w:right="135"/>
              <w:jc w:val="both"/>
              <w:rPr>
                <w:rFonts w:ascii="Times New Roman" w:hAnsi="Times New Roman" w:cs="Times New Roman"/>
                <w:spacing w:val="-6"/>
                <w:sz w:val="22"/>
                <w:szCs w:val="22"/>
              </w:rPr>
            </w:pPr>
            <w:r>
              <w:rPr>
                <w:rFonts w:ascii="Times New Roman" w:hAnsi="Times New Roman" w:cs="Times New Roman"/>
                <w:spacing w:val="-6"/>
                <w:sz w:val="22"/>
                <w:szCs w:val="22"/>
              </w:rPr>
              <w:t>Str. Mihail Eminescu, nr. 3</w:t>
            </w:r>
          </w:p>
        </w:tc>
      </w:tr>
      <w:tr w14:paraId="6BD68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96" w:type="pct"/>
            <w:vAlign w:val="center"/>
          </w:tcPr>
          <w:p w14:paraId="53E20BCB">
            <w:pPr>
              <w:pStyle w:val="64"/>
              <w:ind w:left="107"/>
              <w:jc w:val="both"/>
              <w:rPr>
                <w:rFonts w:hint="default" w:ascii="Times New Roman" w:hAnsi="Times New Roman" w:cs="Times New Roman"/>
                <w:spacing w:val="-6"/>
                <w:sz w:val="22"/>
                <w:szCs w:val="22"/>
                <w:lang w:val="en-US"/>
              </w:rPr>
            </w:pPr>
            <w:r>
              <w:rPr>
                <w:rFonts w:hint="default" w:ascii="Times New Roman" w:hAnsi="Times New Roman" w:cs="Times New Roman"/>
                <w:spacing w:val="-6"/>
                <w:sz w:val="22"/>
                <w:szCs w:val="22"/>
                <w:lang w:val="en-US"/>
              </w:rPr>
              <w:t>2</w:t>
            </w:r>
          </w:p>
        </w:tc>
        <w:tc>
          <w:tcPr>
            <w:tcW w:w="2188" w:type="pct"/>
            <w:vAlign w:val="center"/>
          </w:tcPr>
          <w:p w14:paraId="21EB5D93">
            <w:pPr>
              <w:pStyle w:val="64"/>
              <w:ind w:left="107" w:right="135"/>
              <w:jc w:val="both"/>
              <w:rPr>
                <w:rFonts w:ascii="Times New Roman" w:hAnsi="Times New Roman" w:cs="Times New Roman"/>
                <w:spacing w:val="-6"/>
                <w:sz w:val="22"/>
                <w:szCs w:val="22"/>
              </w:rPr>
            </w:pPr>
            <w:r>
              <w:rPr>
                <w:rFonts w:ascii="Times New Roman" w:hAnsi="Times New Roman" w:cs="Times New Roman"/>
                <w:spacing w:val="-6"/>
                <w:sz w:val="22"/>
                <w:szCs w:val="22"/>
              </w:rPr>
              <w:t>Seminarul Teologic Ortodox „Sfântul Ioan Gură de Aur”</w:t>
            </w:r>
          </w:p>
        </w:tc>
        <w:tc>
          <w:tcPr>
            <w:tcW w:w="2515" w:type="pct"/>
            <w:vAlign w:val="center"/>
          </w:tcPr>
          <w:p w14:paraId="5D71A512">
            <w:pPr>
              <w:pStyle w:val="64"/>
              <w:ind w:left="107" w:right="135"/>
              <w:jc w:val="both"/>
              <w:rPr>
                <w:rFonts w:ascii="Times New Roman" w:hAnsi="Times New Roman" w:cs="Times New Roman"/>
                <w:spacing w:val="-6"/>
                <w:sz w:val="22"/>
                <w:szCs w:val="22"/>
              </w:rPr>
            </w:pPr>
            <w:r>
              <w:rPr>
                <w:rFonts w:ascii="Times New Roman" w:hAnsi="Times New Roman" w:cs="Times New Roman"/>
                <w:spacing w:val="-6"/>
                <w:sz w:val="22"/>
                <w:szCs w:val="22"/>
              </w:rPr>
              <w:t>Str. Alexandru Odobescu, nr. 2</w:t>
            </w:r>
          </w:p>
        </w:tc>
      </w:tr>
      <w:tr w14:paraId="21BA8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96" w:type="pct"/>
            <w:vAlign w:val="center"/>
          </w:tcPr>
          <w:p w14:paraId="64F7B9F2">
            <w:pPr>
              <w:pStyle w:val="64"/>
              <w:ind w:left="107"/>
              <w:jc w:val="both"/>
              <w:rPr>
                <w:rFonts w:hint="default" w:ascii="Times New Roman" w:hAnsi="Times New Roman" w:cs="Times New Roman"/>
                <w:spacing w:val="-6"/>
                <w:sz w:val="22"/>
                <w:szCs w:val="22"/>
                <w:lang w:val="en-US"/>
              </w:rPr>
            </w:pPr>
            <w:r>
              <w:rPr>
                <w:rFonts w:hint="default" w:ascii="Times New Roman" w:hAnsi="Times New Roman" w:cs="Times New Roman"/>
                <w:spacing w:val="-6"/>
                <w:sz w:val="22"/>
                <w:szCs w:val="22"/>
                <w:lang w:val="en-US"/>
              </w:rPr>
              <w:t>3</w:t>
            </w:r>
          </w:p>
        </w:tc>
        <w:tc>
          <w:tcPr>
            <w:tcW w:w="2188" w:type="pct"/>
            <w:vAlign w:val="center"/>
          </w:tcPr>
          <w:p w14:paraId="0EA555C1">
            <w:pPr>
              <w:pStyle w:val="64"/>
              <w:ind w:left="107" w:right="135"/>
              <w:jc w:val="both"/>
              <w:rPr>
                <w:rFonts w:ascii="Times New Roman" w:hAnsi="Times New Roman" w:cs="Times New Roman"/>
                <w:spacing w:val="-6"/>
                <w:sz w:val="22"/>
                <w:szCs w:val="22"/>
              </w:rPr>
            </w:pPr>
            <w:r>
              <w:rPr>
                <w:rFonts w:ascii="Times New Roman" w:hAnsi="Times New Roman" w:cs="Times New Roman"/>
                <w:spacing w:val="-6"/>
                <w:sz w:val="22"/>
                <w:szCs w:val="22"/>
              </w:rPr>
              <w:t>Palatul Copiilor</w:t>
            </w:r>
          </w:p>
        </w:tc>
        <w:tc>
          <w:tcPr>
            <w:tcW w:w="2515" w:type="pct"/>
            <w:vAlign w:val="center"/>
          </w:tcPr>
          <w:p w14:paraId="77D7829C">
            <w:pPr>
              <w:pStyle w:val="64"/>
              <w:ind w:left="107" w:right="135"/>
              <w:jc w:val="both"/>
              <w:rPr>
                <w:rFonts w:ascii="Times New Roman" w:hAnsi="Times New Roman" w:cs="Times New Roman"/>
                <w:spacing w:val="-6"/>
                <w:sz w:val="22"/>
                <w:szCs w:val="22"/>
              </w:rPr>
            </w:pPr>
            <w:r>
              <w:rPr>
                <w:rFonts w:ascii="Times New Roman" w:hAnsi="Times New Roman" w:cs="Times New Roman"/>
                <w:spacing w:val="-6"/>
                <w:sz w:val="22"/>
                <w:szCs w:val="22"/>
              </w:rPr>
              <w:t>Bulevardul Matei Basarab, nr. 120</w:t>
            </w:r>
          </w:p>
        </w:tc>
      </w:tr>
    </w:tbl>
    <w:p w14:paraId="0D0E298F">
      <w:pPr>
        <w:pStyle w:val="28"/>
        <w:shd w:val="clear" w:color="auto" w:fill="auto"/>
        <w:spacing w:before="120" w:after="120" w:line="240" w:lineRule="auto"/>
        <w:ind w:left="20" w:right="20" w:firstLine="0"/>
        <w:rPr>
          <w:color w:val="000000" w:themeColor="text1"/>
          <w:sz w:val="22"/>
          <w:szCs w:val="22"/>
          <w14:textFill>
            <w14:solidFill>
              <w14:schemeClr w14:val="tx1"/>
            </w14:solidFill>
          </w14:textFill>
        </w:rPr>
      </w:pPr>
    </w:p>
    <w:p w14:paraId="735D0BE4">
      <w:pPr>
        <w:pStyle w:val="2"/>
        <w:spacing w:before="120" w:after="120" w:line="240" w:lineRule="auto"/>
        <w:contextualSpacing w:val="0"/>
        <w:rPr>
          <w:sz w:val="22"/>
          <w:szCs w:val="22"/>
          <w:lang w:val="ro-RO" w:eastAsia="ro-RO" w:bidi="ro-RO"/>
        </w:rPr>
      </w:pPr>
      <w:bookmarkStart w:id="11" w:name="_Toc1194"/>
      <w:r>
        <w:rPr>
          <w:sz w:val="22"/>
          <w:szCs w:val="22"/>
          <w:lang w:val="ro-RO" w:eastAsia="ro-RO" w:bidi="ro-RO"/>
        </w:rPr>
        <w:t>Produsele solicitate</w:t>
      </w:r>
      <w:bookmarkEnd w:id="11"/>
    </w:p>
    <w:p w14:paraId="539E2BD4">
      <w:pPr>
        <w:rPr>
          <w:sz w:val="22"/>
          <w:szCs w:val="22"/>
          <w:lang w:val="ro-RO" w:eastAsia="ro-RO" w:bidi="ro-RO"/>
        </w:rPr>
      </w:pPr>
    </w:p>
    <w:p w14:paraId="7604438C">
      <w:pPr>
        <w:pStyle w:val="56"/>
        <w:keepNext/>
        <w:keepLines/>
        <w:widowControl w:val="0"/>
        <w:numPr>
          <w:ilvl w:val="0"/>
          <w:numId w:val="3"/>
        </w:numPr>
        <w:tabs>
          <w:tab w:val="left" w:pos="1176"/>
        </w:tabs>
        <w:spacing w:before="120" w:after="120"/>
        <w:jc w:val="both"/>
        <w:outlineLvl w:val="1"/>
        <w:rPr>
          <w:b/>
          <w:bCs/>
          <w:vanish/>
          <w:sz w:val="22"/>
          <w:szCs w:val="22"/>
          <w:lang w:eastAsia="en-GB"/>
        </w:rPr>
      </w:pPr>
      <w:bookmarkStart w:id="12" w:name="_Toc159326104"/>
      <w:bookmarkEnd w:id="12"/>
    </w:p>
    <w:p w14:paraId="1CA04267">
      <w:pPr>
        <w:pStyle w:val="4"/>
        <w:numPr>
          <w:ilvl w:val="1"/>
          <w:numId w:val="3"/>
        </w:numPr>
        <w:spacing w:before="120" w:after="120" w:line="240" w:lineRule="auto"/>
        <w:contextualSpacing w:val="0"/>
        <w:rPr>
          <w:sz w:val="22"/>
          <w:szCs w:val="22"/>
          <w:lang w:val="ro-RO"/>
        </w:rPr>
      </w:pPr>
      <w:bookmarkStart w:id="13" w:name="_Toc11667"/>
      <w:r>
        <w:rPr>
          <w:sz w:val="22"/>
          <w:szCs w:val="22"/>
          <w:lang w:val="ro-RO"/>
        </w:rPr>
        <w:t>Obiectivul general la care contribuie furnizarea produselor</w:t>
      </w:r>
      <w:bookmarkEnd w:id="13"/>
    </w:p>
    <w:p w14:paraId="4B203CAA">
      <w:pPr>
        <w:spacing w:before="120" w:after="120"/>
        <w:jc w:val="both"/>
        <w:rPr>
          <w:sz w:val="22"/>
          <w:szCs w:val="22"/>
          <w:lang w:val="ro-RO" w:eastAsia="ro-RO" w:bidi="ro-RO"/>
        </w:rPr>
      </w:pPr>
      <w:r>
        <w:rPr>
          <w:sz w:val="22"/>
          <w:szCs w:val="22"/>
          <w:lang w:val="ro-RO"/>
        </w:rPr>
        <w:t>Obiectivul general la care contribuie furnizarea produselor constă în crearea unei infrastructuri de calitate pentru a spori siguranța mediilor de învățare din cadrul unităților de învățământ preuniversitar de la nivelul UAT Municipiul Slobozia, prin dotarea acestora cu materiale didactice, mobilier și echipamente digitale, prin modernizarea infrastructurii existente și a dotărilor aferente, în concordanță cu standardele de calitate existente în educație, prin transformarea digitală a școlilor și facilitarea învățării online în medii sigure, în corelare cu nevoile prezente și viitoare ale pieței forței de muncă, în vederea asigurării participării la un proces educațional de calitate, modern și incluziv, pregătit pentru un curriculum actualizat mai ales in domeniile TIC, pentru toți copiii din mediul preuniversitar și adaptat pentru cei defavorizați sau cu cerințe educaționale speciale</w:t>
      </w:r>
    </w:p>
    <w:p w14:paraId="2EC41808">
      <w:pPr>
        <w:jc w:val="both"/>
        <w:rPr>
          <w:sz w:val="22"/>
          <w:szCs w:val="22"/>
          <w:lang w:val="ro-RO" w:eastAsia="ro-RO" w:bidi="ro-RO"/>
        </w:rPr>
      </w:pPr>
    </w:p>
    <w:p w14:paraId="33DAAF51">
      <w:pPr>
        <w:pStyle w:val="4"/>
        <w:numPr>
          <w:ilvl w:val="1"/>
          <w:numId w:val="3"/>
        </w:numPr>
        <w:spacing w:before="120" w:after="120" w:line="240" w:lineRule="auto"/>
        <w:contextualSpacing w:val="0"/>
        <w:rPr>
          <w:sz w:val="22"/>
          <w:szCs w:val="22"/>
          <w:lang w:val="ro-RO"/>
        </w:rPr>
      </w:pPr>
      <w:bookmarkStart w:id="14" w:name="_Toc28427"/>
      <w:r>
        <w:rPr>
          <w:sz w:val="22"/>
          <w:szCs w:val="22"/>
          <w:lang w:val="ro-RO"/>
        </w:rPr>
        <w:t>Obiectivul specific la care contribuie furnizarea produselor</w:t>
      </w:r>
      <w:bookmarkEnd w:id="14"/>
    </w:p>
    <w:p w14:paraId="67848A0B">
      <w:pPr>
        <w:spacing w:before="120" w:after="120"/>
        <w:jc w:val="both"/>
        <w:rPr>
          <w:sz w:val="22"/>
          <w:szCs w:val="22"/>
          <w:lang w:val="ro-RO"/>
        </w:rPr>
      </w:pPr>
      <w:r>
        <w:rPr>
          <w:sz w:val="22"/>
          <w:szCs w:val="22"/>
          <w:lang w:val="ro-RO"/>
        </w:rPr>
        <w:t>Obiectivele specifice la care contribuie furnizarea produselor sunt următoarele:</w:t>
      </w:r>
    </w:p>
    <w:p w14:paraId="62B0BD1B">
      <w:pPr>
        <w:pStyle w:val="28"/>
        <w:numPr>
          <w:ilvl w:val="0"/>
          <w:numId w:val="4"/>
        </w:numPr>
        <w:spacing w:before="120" w:after="120" w:line="240" w:lineRule="auto"/>
        <w:rPr>
          <w:sz w:val="22"/>
          <w:szCs w:val="22"/>
        </w:rPr>
      </w:pPr>
      <w:r>
        <w:rPr>
          <w:sz w:val="22"/>
          <w:szCs w:val="22"/>
        </w:rPr>
        <w:t>Transformarea digitală a 2 unități de învățământ profesional și tehnic din Municipiul Slobozia și facilitarea învățării online, prin echiparea a două laboratoare de informatică cu infrastructuri și instrumente digitale pentru predat. (I13)</w:t>
      </w:r>
    </w:p>
    <w:p w14:paraId="3153B157">
      <w:pPr>
        <w:pStyle w:val="28"/>
        <w:numPr>
          <w:ilvl w:val="0"/>
          <w:numId w:val="4"/>
        </w:numPr>
        <w:spacing w:before="120" w:after="120" w:line="240" w:lineRule="auto"/>
        <w:rPr>
          <w:sz w:val="22"/>
          <w:szCs w:val="22"/>
        </w:rPr>
      </w:pPr>
      <w:r>
        <w:rPr>
          <w:sz w:val="22"/>
          <w:szCs w:val="22"/>
        </w:rPr>
        <w:t>Asigurarea echipamentelor și a resurselor tehnologice digitale necesare pentru 9 unități de învățământ preuniversitar din Municipiul Slobozia, permițând accesul elevilor la tehnologie prin dotarea cu echipamente a 9 laboratoare informatice. (I9)</w:t>
      </w:r>
    </w:p>
    <w:p w14:paraId="72C72C19">
      <w:pPr>
        <w:pStyle w:val="28"/>
        <w:numPr>
          <w:ilvl w:val="0"/>
          <w:numId w:val="4"/>
        </w:numPr>
        <w:spacing w:before="120" w:after="120" w:line="240" w:lineRule="auto"/>
        <w:rPr>
          <w:sz w:val="22"/>
          <w:szCs w:val="22"/>
        </w:rPr>
      </w:pPr>
      <w:r>
        <w:rPr>
          <w:sz w:val="22"/>
          <w:szCs w:val="22"/>
        </w:rPr>
        <w:t>Asigurarea dotărilor necesare pentru îndeplinirea standardelor de calitate în sălile de clasă la nivelul a 12 unități de învățământ preuniversitar și a 2 unități conexe din Municipiul Slobozia prin dotarea a 289 de săli de clasă cu echipamente digitale pentru organizarea învățării în mediul virtual. (I9)</w:t>
      </w:r>
    </w:p>
    <w:p w14:paraId="5DF39E96">
      <w:pPr>
        <w:pStyle w:val="28"/>
        <w:numPr>
          <w:ilvl w:val="0"/>
          <w:numId w:val="4"/>
        </w:numPr>
        <w:spacing w:before="120" w:after="120" w:line="240" w:lineRule="auto"/>
        <w:rPr>
          <w:sz w:val="22"/>
          <w:szCs w:val="22"/>
        </w:rPr>
      </w:pPr>
      <w:r>
        <w:rPr>
          <w:sz w:val="22"/>
          <w:szCs w:val="22"/>
        </w:rPr>
        <w:t>Asigurarea dotărilor necesare pentru îndeplinirea standardelor de calitate în sălile de clasă la nivelul a 12 unități de învățământ preuniversitar și a 2 unități conexe din Municipiul Slobozia prin dotarea a 167 de săli de clasă cu mobilier și materiale didactice. (I11)</w:t>
      </w:r>
    </w:p>
    <w:p w14:paraId="6617C2B9">
      <w:pPr>
        <w:pStyle w:val="28"/>
        <w:numPr>
          <w:ilvl w:val="0"/>
          <w:numId w:val="4"/>
        </w:numPr>
        <w:spacing w:before="120" w:after="120" w:line="240" w:lineRule="auto"/>
        <w:rPr>
          <w:sz w:val="22"/>
          <w:szCs w:val="22"/>
        </w:rPr>
      </w:pPr>
      <w:r>
        <w:rPr>
          <w:sz w:val="22"/>
          <w:szCs w:val="22"/>
        </w:rPr>
        <w:t>Asigurarea dotărilor necesare pentru îndeplinirea standardelor de calitate în laboratoarele școlare la nivelul a 7 unități de învățământ preuniversitar din Municipiul Slobozia prin dotarea a 7 laboratoare școlare cu mobilier și materiale didactice. (I11)</w:t>
      </w:r>
    </w:p>
    <w:p w14:paraId="38961211">
      <w:pPr>
        <w:pStyle w:val="28"/>
        <w:numPr>
          <w:ilvl w:val="0"/>
          <w:numId w:val="4"/>
        </w:numPr>
        <w:spacing w:before="120" w:after="120" w:line="240" w:lineRule="auto"/>
        <w:rPr>
          <w:sz w:val="22"/>
          <w:szCs w:val="22"/>
        </w:rPr>
      </w:pPr>
      <w:r>
        <w:rPr>
          <w:sz w:val="22"/>
          <w:szCs w:val="22"/>
        </w:rPr>
        <w:t>Asigurarea dotărilor necesare pentru îndeplinirea standardelor de calitate în laboratoarele școlare la nivelul a 7 unități de învățământ preuniversitar din Municipiul Slobozia prin dotarea a 7 laboratoare școlare cu echipamente digitale. (I11)</w:t>
      </w:r>
    </w:p>
    <w:p w14:paraId="703FEE5D">
      <w:pPr>
        <w:pStyle w:val="28"/>
        <w:numPr>
          <w:ilvl w:val="0"/>
          <w:numId w:val="4"/>
        </w:numPr>
        <w:spacing w:before="120" w:after="120" w:line="240" w:lineRule="auto"/>
        <w:rPr>
          <w:sz w:val="22"/>
          <w:szCs w:val="22"/>
        </w:rPr>
      </w:pPr>
      <w:r>
        <w:rPr>
          <w:sz w:val="22"/>
          <w:szCs w:val="22"/>
        </w:rPr>
        <w:t>Asigurarea dotărilor necesare pentru îndeplinirea standardelor de calitate în laboratoarele școlare la nivelul a 12 unități de învățământ preuniversitar și a 2 unități conexe din Municipiul Slobozia prin dotarea a 29 cabinete școlare cu mobilier, materiale didactice și echipamente digitale. (I11)</w:t>
      </w:r>
    </w:p>
    <w:p w14:paraId="5FA85DF8">
      <w:pPr>
        <w:jc w:val="both"/>
        <w:rPr>
          <w:sz w:val="22"/>
          <w:szCs w:val="22"/>
          <w:lang w:val="ro-RO" w:eastAsia="ro-RO" w:bidi="ro-RO"/>
        </w:rPr>
      </w:pPr>
    </w:p>
    <w:p w14:paraId="5929DA6B">
      <w:pPr>
        <w:pStyle w:val="4"/>
        <w:numPr>
          <w:ilvl w:val="1"/>
          <w:numId w:val="3"/>
        </w:numPr>
        <w:spacing w:before="120" w:after="120" w:line="240" w:lineRule="auto"/>
        <w:contextualSpacing w:val="0"/>
        <w:rPr>
          <w:sz w:val="22"/>
          <w:szCs w:val="22"/>
          <w:lang w:val="ro-RO"/>
        </w:rPr>
      </w:pPr>
      <w:bookmarkStart w:id="15" w:name="_Toc29302"/>
      <w:r>
        <w:rPr>
          <w:sz w:val="22"/>
          <w:szCs w:val="22"/>
          <w:lang w:val="ro-RO"/>
        </w:rPr>
        <w:t>Descrierea produselor solicitate și a operațiunilor cu titlu accesoriu necesar a fi realizate</w:t>
      </w:r>
      <w:bookmarkEnd w:id="15"/>
    </w:p>
    <w:p w14:paraId="35AD2738">
      <w:pPr>
        <w:spacing w:before="120" w:after="120"/>
        <w:jc w:val="both"/>
        <w:rPr>
          <w:spacing w:val="-6"/>
          <w:sz w:val="22"/>
          <w:szCs w:val="22"/>
          <w:lang w:val="ro-RO"/>
        </w:rPr>
      </w:pPr>
      <w:r>
        <w:rPr>
          <w:spacing w:val="-6"/>
          <w:sz w:val="22"/>
          <w:szCs w:val="22"/>
          <w:lang w:val="ro-RO"/>
        </w:rPr>
        <w:t xml:space="preserve">Prin prezenta procedura se dorește achiziționarea </w:t>
      </w:r>
      <w:r>
        <w:rPr>
          <w:color w:val="auto"/>
          <w:spacing w:val="-6"/>
          <w:sz w:val="22"/>
          <w:szCs w:val="22"/>
          <w:lang w:val="ro-RO"/>
        </w:rPr>
        <w:t xml:space="preserve">a </w:t>
      </w:r>
      <w:r>
        <w:rPr>
          <w:rFonts w:hint="default"/>
          <w:b/>
          <w:bCs/>
          <w:color w:val="auto"/>
          <w:spacing w:val="-6"/>
          <w:sz w:val="22"/>
          <w:szCs w:val="22"/>
          <w:lang w:val="en-US"/>
        </w:rPr>
        <w:t>54</w:t>
      </w:r>
      <w:r>
        <w:rPr>
          <w:b/>
          <w:bCs/>
          <w:color w:val="auto"/>
          <w:spacing w:val="-6"/>
          <w:sz w:val="22"/>
          <w:szCs w:val="22"/>
          <w:lang w:val="ro-RO"/>
        </w:rPr>
        <w:t xml:space="preserve"> de materiale </w:t>
      </w:r>
      <w:r>
        <w:rPr>
          <w:b/>
          <w:bCs/>
          <w:spacing w:val="-6"/>
          <w:sz w:val="22"/>
          <w:szCs w:val="22"/>
          <w:lang w:val="ro-RO"/>
        </w:rPr>
        <w:t>didactice</w:t>
      </w:r>
      <w:r>
        <w:rPr>
          <w:rFonts w:hint="default"/>
          <w:b/>
          <w:bCs/>
          <w:spacing w:val="-6"/>
          <w:sz w:val="22"/>
          <w:szCs w:val="22"/>
          <w:lang w:val="en-US"/>
        </w:rPr>
        <w:t xml:space="preserve"> pentru cabinetele de muzica</w:t>
      </w:r>
      <w:r>
        <w:rPr>
          <w:spacing w:val="-6"/>
          <w:sz w:val="22"/>
          <w:szCs w:val="22"/>
          <w:lang w:val="ro-RO"/>
        </w:rPr>
        <w:t xml:space="preserve">, pentru dotarea celor </w:t>
      </w:r>
      <w:r>
        <w:rPr>
          <w:rFonts w:hint="default"/>
          <w:spacing w:val="-6"/>
          <w:sz w:val="22"/>
          <w:szCs w:val="22"/>
          <w:lang w:val="en-US"/>
        </w:rPr>
        <w:t>3</w:t>
      </w:r>
      <w:r>
        <w:rPr>
          <w:spacing w:val="-6"/>
          <w:sz w:val="22"/>
          <w:szCs w:val="22"/>
          <w:lang w:val="ro-RO"/>
        </w:rPr>
        <w:t xml:space="preserve"> unități de învățământ preuniversitar și conexe acestora din Municipiul Slobozia. </w:t>
      </w:r>
    </w:p>
    <w:p w14:paraId="4EC65BD8">
      <w:pPr>
        <w:spacing w:before="120" w:after="120"/>
        <w:jc w:val="both"/>
        <w:rPr>
          <w:spacing w:val="-2"/>
          <w:sz w:val="22"/>
          <w:szCs w:val="22"/>
          <w:lang w:val="ro-RO"/>
        </w:rPr>
      </w:pPr>
      <w:r>
        <w:rPr>
          <w:spacing w:val="-2"/>
          <w:sz w:val="22"/>
          <w:szCs w:val="22"/>
          <w:lang w:val="ro-RO"/>
        </w:rPr>
        <w:t xml:space="preserve">Achiziția este derulată sub codul CPV principal </w:t>
      </w:r>
      <w:r>
        <w:rPr>
          <w:spacing w:val="-6"/>
          <w:sz w:val="22"/>
          <w:szCs w:val="22"/>
          <w:lang w:val="ro-RO"/>
        </w:rPr>
        <w:t xml:space="preserve">39162100-6 </w:t>
      </w:r>
      <w:r>
        <w:rPr>
          <w:bCs/>
          <w:spacing w:val="-6"/>
          <w:sz w:val="22"/>
          <w:szCs w:val="22"/>
          <w:lang w:val="ro-RO" w:eastAsia="ro-RO"/>
        </w:rPr>
        <w:t>| Material pedagogic (Rev.2)</w:t>
      </w:r>
      <w:r>
        <w:rPr>
          <w:spacing w:val="-2"/>
          <w:sz w:val="22"/>
          <w:szCs w:val="22"/>
          <w:lang w:val="ro-RO"/>
        </w:rPr>
        <w:t xml:space="preserve">.  </w:t>
      </w:r>
    </w:p>
    <w:p w14:paraId="2ABE58C5">
      <w:pPr>
        <w:spacing w:before="120" w:after="120"/>
        <w:jc w:val="both"/>
        <w:rPr>
          <w:b/>
          <w:bCs/>
          <w:spacing w:val="-2"/>
          <w:sz w:val="22"/>
          <w:szCs w:val="22"/>
          <w:lang w:val="ro-RO"/>
        </w:rPr>
      </w:pPr>
      <w:r>
        <w:rPr>
          <w:spacing w:val="-2"/>
          <w:sz w:val="22"/>
          <w:szCs w:val="22"/>
          <w:lang w:val="ro-RO"/>
        </w:rPr>
        <w:t xml:space="preserve">Materialele didactice ce urmează a fi achiziționate prin prezenta procedură vor fi fiabile și economice, apte pentru utilizarea intensivă conform destinației lor.  Nu se accepta decât produse noi, nefolosite. </w:t>
      </w:r>
    </w:p>
    <w:p w14:paraId="6360353C">
      <w:pPr>
        <w:spacing w:before="120" w:after="120"/>
        <w:jc w:val="both"/>
        <w:rPr>
          <w:spacing w:val="-2"/>
          <w:sz w:val="22"/>
          <w:szCs w:val="22"/>
          <w:lang w:val="ro-RO"/>
        </w:rPr>
      </w:pPr>
      <w:r>
        <w:rPr>
          <w:spacing w:val="-2"/>
          <w:sz w:val="22"/>
          <w:szCs w:val="22"/>
          <w:lang w:val="ro-RO"/>
        </w:rPr>
        <w:t>Ofertantul câștigător va asigura furnizarea, montajul, și service în perioada de garanție pentru produsele furnizate</w:t>
      </w:r>
    </w:p>
    <w:p w14:paraId="7CE73D6C">
      <w:pPr>
        <w:spacing w:before="120" w:after="120"/>
        <w:jc w:val="both"/>
        <w:rPr>
          <w:spacing w:val="-2"/>
          <w:sz w:val="22"/>
          <w:szCs w:val="22"/>
          <w:lang w:val="ro-RO"/>
        </w:rPr>
      </w:pPr>
      <w:r>
        <w:rPr>
          <w:spacing w:val="-2"/>
          <w:sz w:val="22"/>
          <w:szCs w:val="22"/>
          <w:lang w:val="ro-RO"/>
        </w:rPr>
        <w:t>Produsele trebuie sa respecte standardele de dotare minimală stabilite de Ministerul Educației cu referire la echiparea școlilor, și să respect prevederile OM nr. 4901 pentru modificarea OME nr. 6423/2022- Ghidul Solicitantului pentru lansarea apelului de proiecte finanțat din PNRR – Dotarea cu mobilier, materiale didactice și echipamente digitale a unităților  de învățământ preuniversitar și a unităților conexe, cu modificările și completările ulterioare.</w:t>
      </w:r>
    </w:p>
    <w:p w14:paraId="4E2C5763">
      <w:pPr>
        <w:spacing w:before="120" w:after="120"/>
        <w:jc w:val="both"/>
        <w:rPr>
          <w:spacing w:val="-2"/>
          <w:sz w:val="22"/>
          <w:szCs w:val="22"/>
          <w:lang w:val="ro-RO"/>
        </w:rPr>
      </w:pPr>
      <w:r>
        <w:rPr>
          <w:spacing w:val="-2"/>
          <w:sz w:val="22"/>
          <w:szCs w:val="22"/>
          <w:lang w:val="ro-RO"/>
        </w:rPr>
        <w:t>Materialele didactice trebuie să îndeplinească următoarele condiții de funcționalitate, securitate și de mediu:</w:t>
      </w:r>
    </w:p>
    <w:p w14:paraId="1621543F">
      <w:pPr>
        <w:pStyle w:val="56"/>
        <w:numPr>
          <w:ilvl w:val="0"/>
          <w:numId w:val="5"/>
        </w:numPr>
        <w:spacing w:before="120" w:after="120"/>
        <w:jc w:val="both"/>
        <w:rPr>
          <w:spacing w:val="-2"/>
          <w:sz w:val="22"/>
          <w:szCs w:val="22"/>
        </w:rPr>
      </w:pPr>
      <w:r>
        <w:rPr>
          <w:spacing w:val="-2"/>
          <w:sz w:val="22"/>
          <w:szCs w:val="22"/>
        </w:rPr>
        <w:t>Sa fie adaptate fiecărei categorii de ciclu școlar atât ca funcționalitate cat și ca volumetrie (dimensiuni gabaritice);</w:t>
      </w:r>
    </w:p>
    <w:p w14:paraId="17A9C237">
      <w:pPr>
        <w:pStyle w:val="56"/>
        <w:numPr>
          <w:ilvl w:val="0"/>
          <w:numId w:val="5"/>
        </w:numPr>
        <w:spacing w:before="120" w:after="120"/>
        <w:jc w:val="both"/>
        <w:rPr>
          <w:spacing w:val="-2"/>
          <w:sz w:val="22"/>
          <w:szCs w:val="22"/>
        </w:rPr>
      </w:pPr>
      <w:r>
        <w:rPr>
          <w:spacing w:val="-2"/>
          <w:sz w:val="22"/>
          <w:szCs w:val="22"/>
        </w:rPr>
        <w:t>Sa fie versatile astfel încât să poată fi adaptate caracteristicilor fizice ale elevilor (în special pentru adaptarea pe înălțime);</w:t>
      </w:r>
    </w:p>
    <w:p w14:paraId="668C7CD6">
      <w:pPr>
        <w:pStyle w:val="56"/>
        <w:numPr>
          <w:ilvl w:val="0"/>
          <w:numId w:val="5"/>
        </w:numPr>
        <w:spacing w:before="120" w:after="120"/>
        <w:jc w:val="both"/>
        <w:rPr>
          <w:spacing w:val="-2"/>
          <w:sz w:val="22"/>
          <w:szCs w:val="22"/>
        </w:rPr>
      </w:pPr>
      <w:r>
        <w:rPr>
          <w:spacing w:val="-2"/>
          <w:sz w:val="22"/>
          <w:szCs w:val="22"/>
        </w:rPr>
        <w:t>Sa aibă finisaje care asigura siguranța în exploatare;</w:t>
      </w:r>
    </w:p>
    <w:p w14:paraId="369E1B2C">
      <w:pPr>
        <w:pStyle w:val="56"/>
        <w:numPr>
          <w:ilvl w:val="0"/>
          <w:numId w:val="5"/>
        </w:numPr>
        <w:spacing w:before="120" w:after="120"/>
        <w:jc w:val="both"/>
        <w:rPr>
          <w:spacing w:val="-2"/>
          <w:sz w:val="22"/>
          <w:szCs w:val="22"/>
        </w:rPr>
      </w:pPr>
      <w:r>
        <w:rPr>
          <w:spacing w:val="-2"/>
          <w:sz w:val="22"/>
          <w:szCs w:val="22"/>
        </w:rPr>
        <w:t>Sa aibă sisteme de asamblare care să asigure exploatarea in siguranța si durabilitate pe termen lung;</w:t>
      </w:r>
    </w:p>
    <w:p w14:paraId="6A85435E">
      <w:pPr>
        <w:pStyle w:val="56"/>
        <w:numPr>
          <w:ilvl w:val="0"/>
          <w:numId w:val="5"/>
        </w:numPr>
        <w:spacing w:before="120" w:after="120"/>
        <w:jc w:val="both"/>
        <w:rPr>
          <w:spacing w:val="-2"/>
          <w:sz w:val="22"/>
          <w:szCs w:val="22"/>
        </w:rPr>
      </w:pPr>
      <w:r>
        <w:rPr>
          <w:spacing w:val="-2"/>
          <w:sz w:val="22"/>
          <w:szCs w:val="22"/>
        </w:rPr>
        <w:t>Sa respecte standardele internaționale și naționale referitoare la materialele utilizate, soluțiile de acoperire etc astfel încât să asigure soluții prietenoase cu mediul, conform principiilor DNSH.</w:t>
      </w:r>
    </w:p>
    <w:p w14:paraId="15766BEE">
      <w:pPr>
        <w:jc w:val="both"/>
        <w:rPr>
          <w:sz w:val="22"/>
          <w:szCs w:val="22"/>
          <w:lang w:val="ro-RO" w:eastAsia="ro-RO" w:bidi="ro-RO"/>
        </w:rPr>
      </w:pPr>
    </w:p>
    <w:p w14:paraId="7B1749D2">
      <w:pPr>
        <w:pStyle w:val="4"/>
        <w:numPr>
          <w:ilvl w:val="2"/>
          <w:numId w:val="3"/>
        </w:numPr>
        <w:spacing w:before="120" w:after="120" w:line="240" w:lineRule="auto"/>
        <w:contextualSpacing w:val="0"/>
        <w:rPr>
          <w:b w:val="0"/>
          <w:bCs w:val="0"/>
          <w:i/>
          <w:iCs/>
          <w:sz w:val="22"/>
          <w:szCs w:val="22"/>
          <w:lang w:val="ro-RO"/>
        </w:rPr>
      </w:pPr>
      <w:bookmarkStart w:id="16" w:name="_Toc23406"/>
      <w:r>
        <w:rPr>
          <w:b w:val="0"/>
          <w:bCs w:val="0"/>
          <w:i/>
          <w:iCs/>
          <w:sz w:val="22"/>
          <w:szCs w:val="22"/>
          <w:lang w:val="ro-RO"/>
        </w:rPr>
        <w:t>Descrierea produselor solicitate și a operațiunilor cu titlu accesoriu necesar a fi realizate</w:t>
      </w:r>
      <w:bookmarkEnd w:id="16"/>
    </w:p>
    <w:p w14:paraId="4777FE9D">
      <w:pPr>
        <w:spacing w:before="120" w:after="120"/>
        <w:jc w:val="both"/>
        <w:rPr>
          <w:b/>
          <w:bCs/>
          <w:spacing w:val="-2"/>
          <w:sz w:val="22"/>
          <w:szCs w:val="22"/>
          <w:lang w:val="ro-RO"/>
        </w:rPr>
      </w:pPr>
      <w:r>
        <w:rPr>
          <w:spacing w:val="-2"/>
          <w:sz w:val="22"/>
          <w:szCs w:val="22"/>
          <w:lang w:val="ro-RO"/>
        </w:rPr>
        <w:t xml:space="preserve">Atenție! Caracteristicile tehnice aferente materialelor didactice solicitate prin caietul de sarcini sunt considerate </w:t>
      </w:r>
      <w:r>
        <w:rPr>
          <w:b/>
          <w:bCs/>
          <w:spacing w:val="-2"/>
          <w:sz w:val="22"/>
          <w:szCs w:val="22"/>
          <w:lang w:val="ro-RO"/>
        </w:rPr>
        <w:t xml:space="preserve">specificații tehnice și funcționale minime.  </w:t>
      </w:r>
    </w:p>
    <w:p w14:paraId="616FBAA7">
      <w:pPr>
        <w:spacing w:before="120" w:after="120"/>
        <w:jc w:val="both"/>
        <w:rPr>
          <w:spacing w:val="-2"/>
          <w:sz w:val="22"/>
          <w:szCs w:val="22"/>
          <w:lang w:val="ro-RO"/>
        </w:rPr>
      </w:pPr>
      <w:r>
        <w:rPr>
          <w:spacing w:val="-2"/>
          <w:sz w:val="22"/>
          <w:szCs w:val="22"/>
          <w:lang w:val="ro-RO"/>
        </w:rPr>
        <w:t>Astfel, cerințele prevăzute în prezentul caiet de sarcini reprezintă cerințe minime obligatorii, neîndeplinirea lor atrăgând respingerea ofertei ca neconformă</w:t>
      </w:r>
    </w:p>
    <w:p w14:paraId="16588EE8">
      <w:pPr>
        <w:pBdr>
          <w:top w:val="single" w:color="auto" w:sz="4" w:space="1"/>
          <w:left w:val="single" w:color="auto" w:sz="4" w:space="4"/>
          <w:bottom w:val="single" w:color="auto" w:sz="4" w:space="1"/>
          <w:right w:val="single" w:color="auto" w:sz="4" w:space="4"/>
          <w:between w:val="single" w:color="auto" w:sz="4" w:space="1"/>
        </w:pBdr>
        <w:shd w:val="clear" w:color="auto" w:fill="D8D8D8" w:themeFill="background1" w:themeFillShade="D9"/>
        <w:spacing w:before="120" w:after="120"/>
        <w:jc w:val="both"/>
        <w:rPr>
          <w:b/>
          <w:bCs/>
          <w:iCs/>
          <w:spacing w:val="-2"/>
          <w:sz w:val="22"/>
          <w:szCs w:val="22"/>
          <w:lang w:val="ro-RO"/>
        </w:rPr>
      </w:pPr>
      <w:r>
        <w:rPr>
          <w:iCs/>
          <w:spacing w:val="-2"/>
          <w:sz w:val="22"/>
          <w:szCs w:val="22"/>
          <w:lang w:val="ro-RO"/>
        </w:rPr>
        <w:t xml:space="preserve">În cazul în care, în întreaga documentație de atribuire sau în specificațiile tehnice, au fost menționate specificații tehnice care ar putea indica o anumita origine, sursa, producție, un procedeu special, o marca de fabrica sau de comerț, un brevet de invenție, o licență de fabricație, acestea se vor citi </w:t>
      </w:r>
      <w:r>
        <w:rPr>
          <w:b/>
          <w:bCs/>
          <w:iCs/>
          <w:spacing w:val="-2"/>
          <w:sz w:val="22"/>
          <w:szCs w:val="22"/>
          <w:lang w:val="ro-RO"/>
        </w:rPr>
        <w:t>„...sau echivalent”;</w:t>
      </w:r>
    </w:p>
    <w:p w14:paraId="5E6F25E2">
      <w:pPr>
        <w:pBdr>
          <w:top w:val="single" w:color="auto" w:sz="4" w:space="1"/>
          <w:left w:val="single" w:color="auto" w:sz="4" w:space="4"/>
          <w:bottom w:val="single" w:color="auto" w:sz="4" w:space="1"/>
          <w:right w:val="single" w:color="auto" w:sz="4" w:space="4"/>
          <w:between w:val="single" w:color="auto" w:sz="4" w:space="1"/>
        </w:pBdr>
        <w:shd w:val="clear" w:color="auto" w:fill="D8D8D8" w:themeFill="background1" w:themeFillShade="D9"/>
        <w:spacing w:before="120" w:after="120"/>
        <w:jc w:val="both"/>
        <w:rPr>
          <w:sz w:val="32"/>
          <w:szCs w:val="32"/>
          <w:lang w:val="ro-RO" w:eastAsia="ro-RO" w:bidi="ro-RO"/>
        </w:rPr>
      </w:pPr>
      <w:r>
        <w:rPr>
          <w:iCs/>
          <w:spacing w:val="-4"/>
          <w:sz w:val="22"/>
          <w:szCs w:val="22"/>
          <w:lang w:val="ro-RO"/>
        </w:rPr>
        <w:t xml:space="preserve">În situația în care, în cadrul specificațiilor tehnice sunt menționate </w:t>
      </w:r>
      <w:r>
        <w:rPr>
          <w:b/>
          <w:bCs/>
          <w:iCs/>
          <w:spacing w:val="-4"/>
          <w:sz w:val="22"/>
          <w:szCs w:val="22"/>
          <w:lang w:val="ro-RO"/>
        </w:rPr>
        <w:t>dimensiuni</w:t>
      </w:r>
      <w:r>
        <w:rPr>
          <w:iCs/>
          <w:spacing w:val="-4"/>
          <w:sz w:val="22"/>
          <w:szCs w:val="22"/>
          <w:lang w:val="ro-RO"/>
        </w:rPr>
        <w:t xml:space="preserve"> și sau </w:t>
      </w:r>
      <w:r>
        <w:rPr>
          <w:b/>
          <w:bCs/>
          <w:iCs/>
          <w:spacing w:val="-4"/>
          <w:sz w:val="22"/>
          <w:szCs w:val="22"/>
          <w:lang w:val="ro-RO"/>
        </w:rPr>
        <w:t>greutăți</w:t>
      </w:r>
      <w:r>
        <w:rPr>
          <w:iCs/>
          <w:spacing w:val="-4"/>
          <w:sz w:val="22"/>
          <w:szCs w:val="22"/>
          <w:lang w:val="ro-RO"/>
        </w:rPr>
        <w:t xml:space="preserve"> ale produselor utilizând sintagma </w:t>
      </w:r>
      <w:r>
        <w:rPr>
          <w:i/>
          <w:spacing w:val="-4"/>
          <w:sz w:val="22"/>
          <w:szCs w:val="22"/>
          <w:lang w:val="ro-RO"/>
        </w:rPr>
        <w:t>aproximativ</w:t>
      </w:r>
      <w:r>
        <w:rPr>
          <w:iCs/>
          <w:spacing w:val="-4"/>
          <w:sz w:val="22"/>
          <w:szCs w:val="22"/>
          <w:lang w:val="ro-RO"/>
        </w:rPr>
        <w:t xml:space="preserve"> se va permite o abatere de </w:t>
      </w:r>
      <w:r>
        <w:rPr>
          <w:b/>
          <w:bCs/>
          <w:iCs/>
          <w:spacing w:val="-4"/>
          <w:sz w:val="22"/>
          <w:szCs w:val="22"/>
          <w:lang w:val="ro-RO"/>
        </w:rPr>
        <w:t>+/- 10%</w:t>
      </w:r>
      <w:r>
        <w:rPr>
          <w:iCs/>
          <w:spacing w:val="-4"/>
          <w:sz w:val="22"/>
          <w:szCs w:val="22"/>
          <w:lang w:val="ro-RO"/>
        </w:rPr>
        <w:t xml:space="preserve"> față de dimensiunile indicate</w:t>
      </w:r>
      <w:r>
        <w:rPr>
          <w:iCs/>
          <w:spacing w:val="-4"/>
          <w:lang w:val="ro-RO"/>
        </w:rPr>
        <w:t>.</w:t>
      </w:r>
    </w:p>
    <w:p w14:paraId="05E8390A">
      <w:pPr>
        <w:shd w:val="clear" w:color="auto" w:fill="000000" w:themeFill="text1"/>
        <w:spacing w:before="120" w:after="120"/>
        <w:jc w:val="both"/>
        <w:rPr>
          <w:b/>
          <w:bCs/>
          <w:spacing w:val="-2"/>
          <w:lang w:val="ro-RO"/>
        </w:rPr>
      </w:pPr>
      <w:r>
        <w:rPr>
          <w:b/>
          <w:bCs/>
          <w:spacing w:val="-2"/>
          <w:lang w:val="ro-RO"/>
        </w:rPr>
        <w:t xml:space="preserve"> Materiale didactice pentru cabinetele de muzică</w:t>
      </w:r>
    </w:p>
    <w:tbl>
      <w:tblPr>
        <w:tblStyle w:val="8"/>
        <w:tblW w:w="11058"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418"/>
        <w:gridCol w:w="891"/>
        <w:gridCol w:w="795"/>
        <w:gridCol w:w="1417"/>
        <w:gridCol w:w="1134"/>
        <w:gridCol w:w="2835"/>
        <w:gridCol w:w="1276"/>
        <w:gridCol w:w="1292"/>
      </w:tblGrid>
      <w:tr w14:paraId="78E2FCC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38E0D6BA">
            <w:pPr>
              <w:widowControl w:val="0"/>
              <w:spacing w:before="120" w:after="120"/>
              <w:jc w:val="center"/>
              <w:rPr>
                <w:b/>
                <w:spacing w:val="-6"/>
                <w:sz w:val="16"/>
                <w:szCs w:val="16"/>
                <w:lang w:val="ro-RO"/>
              </w:rPr>
            </w:pPr>
            <w:r>
              <w:rPr>
                <w:b/>
                <w:iCs/>
                <w:spacing w:val="-6"/>
                <w:sz w:val="16"/>
                <w:szCs w:val="16"/>
                <w:lang w:val="ro-RO"/>
              </w:rPr>
              <w:t>Denumire echipament</w:t>
            </w:r>
          </w:p>
        </w:tc>
        <w:tc>
          <w:tcPr>
            <w:tcW w:w="891" w:type="dxa"/>
            <w:vAlign w:val="center"/>
          </w:tcPr>
          <w:p w14:paraId="249A69D9">
            <w:pPr>
              <w:widowControl w:val="0"/>
              <w:spacing w:before="120" w:after="120"/>
              <w:jc w:val="center"/>
              <w:rPr>
                <w:b/>
                <w:iCs/>
                <w:spacing w:val="-6"/>
                <w:sz w:val="16"/>
                <w:szCs w:val="16"/>
                <w:lang w:val="ro-RO"/>
              </w:rPr>
            </w:pPr>
            <w:r>
              <w:rPr>
                <w:b/>
                <w:iCs/>
                <w:spacing w:val="-6"/>
                <w:sz w:val="16"/>
                <w:szCs w:val="16"/>
                <w:lang w:val="ro-RO"/>
              </w:rPr>
              <w:t>Cantitate</w:t>
            </w:r>
          </w:p>
        </w:tc>
        <w:tc>
          <w:tcPr>
            <w:tcW w:w="795" w:type="dxa"/>
            <w:shd w:val="clear" w:color="auto" w:fill="auto"/>
            <w:vAlign w:val="center"/>
          </w:tcPr>
          <w:p w14:paraId="52DB8039">
            <w:pPr>
              <w:widowControl w:val="0"/>
              <w:spacing w:before="120" w:after="120"/>
              <w:jc w:val="center"/>
              <w:rPr>
                <w:b/>
                <w:iCs/>
                <w:spacing w:val="-6"/>
                <w:sz w:val="16"/>
                <w:szCs w:val="16"/>
                <w:lang w:val="ro-RO"/>
              </w:rPr>
            </w:pPr>
            <w:r>
              <w:rPr>
                <w:b/>
                <w:iCs/>
                <w:spacing w:val="-6"/>
                <w:sz w:val="16"/>
                <w:szCs w:val="16"/>
                <w:lang w:val="ro-RO"/>
              </w:rPr>
              <w:t>Unitate de măsură</w:t>
            </w:r>
          </w:p>
        </w:tc>
        <w:tc>
          <w:tcPr>
            <w:tcW w:w="1417" w:type="dxa"/>
            <w:shd w:val="clear" w:color="auto" w:fill="auto"/>
            <w:vAlign w:val="center"/>
          </w:tcPr>
          <w:p w14:paraId="49D2F51B">
            <w:pPr>
              <w:widowControl w:val="0"/>
              <w:spacing w:before="120" w:after="120"/>
              <w:jc w:val="center"/>
              <w:rPr>
                <w:b/>
                <w:iCs/>
                <w:spacing w:val="-6"/>
                <w:sz w:val="16"/>
                <w:szCs w:val="16"/>
                <w:lang w:val="ro-RO"/>
              </w:rPr>
            </w:pPr>
            <w:r>
              <w:rPr>
                <w:b/>
                <w:iCs/>
                <w:spacing w:val="-6"/>
                <w:sz w:val="16"/>
                <w:szCs w:val="16"/>
                <w:lang w:val="ro-RO"/>
              </w:rPr>
              <w:t>Loc de livrare</w:t>
            </w:r>
          </w:p>
        </w:tc>
        <w:tc>
          <w:tcPr>
            <w:tcW w:w="1134" w:type="dxa"/>
            <w:shd w:val="clear" w:color="auto" w:fill="auto"/>
            <w:vAlign w:val="center"/>
          </w:tcPr>
          <w:p w14:paraId="3D11E3F3">
            <w:pPr>
              <w:widowControl w:val="0"/>
              <w:spacing w:before="120" w:after="120"/>
              <w:jc w:val="center"/>
              <w:rPr>
                <w:b/>
                <w:iCs/>
                <w:spacing w:val="-6"/>
                <w:sz w:val="16"/>
                <w:szCs w:val="16"/>
                <w:lang w:val="ro-RO"/>
              </w:rPr>
            </w:pPr>
            <w:r>
              <w:rPr>
                <w:b/>
                <w:iCs/>
                <w:spacing w:val="-6"/>
                <w:sz w:val="16"/>
                <w:szCs w:val="16"/>
                <w:lang w:val="ro-RO"/>
              </w:rPr>
              <w:t>Data de livrare solicitată</w:t>
            </w:r>
          </w:p>
        </w:tc>
        <w:tc>
          <w:tcPr>
            <w:tcW w:w="2835" w:type="dxa"/>
            <w:shd w:val="clear" w:color="auto" w:fill="auto"/>
            <w:vAlign w:val="center"/>
          </w:tcPr>
          <w:p w14:paraId="7262C4A1">
            <w:pPr>
              <w:widowControl w:val="0"/>
              <w:spacing w:before="120" w:after="120"/>
              <w:jc w:val="center"/>
              <w:rPr>
                <w:b/>
                <w:iCs/>
                <w:spacing w:val="-6"/>
                <w:sz w:val="16"/>
                <w:szCs w:val="16"/>
                <w:lang w:val="ro-RO"/>
              </w:rPr>
            </w:pPr>
            <w:r>
              <w:rPr>
                <w:b/>
                <w:iCs/>
                <w:spacing w:val="-6"/>
                <w:sz w:val="16"/>
                <w:szCs w:val="16"/>
                <w:lang w:val="ro-RO"/>
              </w:rPr>
              <w:t xml:space="preserve">Specificații tehnice SAU cerințe de performanță / funcționale </w:t>
            </w:r>
            <w:r>
              <w:rPr>
                <w:b/>
                <w:iCs/>
                <w:spacing w:val="-6"/>
                <w:sz w:val="16"/>
                <w:szCs w:val="16"/>
                <w:u w:val="single"/>
                <w:lang w:val="ro-RO"/>
              </w:rPr>
              <w:t>minime</w:t>
            </w:r>
          </w:p>
        </w:tc>
        <w:tc>
          <w:tcPr>
            <w:tcW w:w="1276" w:type="dxa"/>
            <w:shd w:val="clear" w:color="auto" w:fill="auto"/>
            <w:vAlign w:val="center"/>
          </w:tcPr>
          <w:p w14:paraId="521E4F25">
            <w:pPr>
              <w:widowControl w:val="0"/>
              <w:spacing w:before="120" w:after="120"/>
              <w:jc w:val="center"/>
              <w:rPr>
                <w:b/>
                <w:iCs/>
                <w:spacing w:val="-6"/>
                <w:sz w:val="16"/>
                <w:szCs w:val="16"/>
                <w:lang w:val="ro-RO"/>
              </w:rPr>
            </w:pPr>
            <w:r>
              <w:rPr>
                <w:b/>
                <w:iCs/>
                <w:spacing w:val="-6"/>
                <w:sz w:val="16"/>
                <w:szCs w:val="16"/>
                <w:lang w:val="ro-RO"/>
              </w:rPr>
              <w:t xml:space="preserve">Specificații tehnice SAU cerințe  de performanță / funcționale </w:t>
            </w:r>
            <w:r>
              <w:rPr>
                <w:b/>
                <w:iCs/>
                <w:spacing w:val="-6"/>
                <w:sz w:val="16"/>
                <w:szCs w:val="16"/>
                <w:u w:val="single"/>
                <w:lang w:val="ro-RO"/>
              </w:rPr>
              <w:t xml:space="preserve">extinse/dorite </w:t>
            </w:r>
          </w:p>
        </w:tc>
        <w:tc>
          <w:tcPr>
            <w:tcW w:w="1292" w:type="dxa"/>
            <w:vAlign w:val="center"/>
          </w:tcPr>
          <w:p w14:paraId="6FCF259D">
            <w:pPr>
              <w:widowControl w:val="0"/>
              <w:spacing w:before="120" w:after="120"/>
              <w:jc w:val="center"/>
              <w:rPr>
                <w:b/>
                <w:iCs/>
                <w:spacing w:val="-6"/>
                <w:sz w:val="16"/>
                <w:szCs w:val="16"/>
                <w:lang w:val="ro-RO"/>
              </w:rPr>
            </w:pPr>
            <w:r>
              <w:rPr>
                <w:rFonts w:eastAsia="Calibri"/>
                <w:b/>
                <w:spacing w:val="-6"/>
                <w:sz w:val="16"/>
                <w:szCs w:val="16"/>
                <w:lang w:val="ro-RO"/>
              </w:rPr>
              <w:t>Durata minima garanție/ termen de valabilitate</w:t>
            </w:r>
          </w:p>
        </w:tc>
      </w:tr>
      <w:tr w14:paraId="3B37181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370965F2">
            <w:pPr>
              <w:pStyle w:val="56"/>
              <w:widowControl w:val="0"/>
              <w:numPr>
                <w:ilvl w:val="0"/>
                <w:numId w:val="6"/>
              </w:numPr>
              <w:spacing w:before="120" w:after="120"/>
              <w:jc w:val="center"/>
              <w:rPr>
                <w:b/>
                <w:iCs/>
                <w:spacing w:val="-6"/>
                <w:sz w:val="16"/>
                <w:szCs w:val="16"/>
              </w:rPr>
            </w:pPr>
          </w:p>
        </w:tc>
        <w:tc>
          <w:tcPr>
            <w:tcW w:w="891" w:type="dxa"/>
          </w:tcPr>
          <w:p w14:paraId="7E98B92C">
            <w:pPr>
              <w:pStyle w:val="56"/>
              <w:widowControl w:val="0"/>
              <w:numPr>
                <w:ilvl w:val="0"/>
                <w:numId w:val="6"/>
              </w:numPr>
              <w:spacing w:before="120" w:after="120"/>
              <w:jc w:val="center"/>
              <w:rPr>
                <w:b/>
                <w:iCs/>
                <w:spacing w:val="-6"/>
                <w:sz w:val="16"/>
                <w:szCs w:val="16"/>
              </w:rPr>
            </w:pPr>
          </w:p>
        </w:tc>
        <w:tc>
          <w:tcPr>
            <w:tcW w:w="795" w:type="dxa"/>
            <w:shd w:val="clear" w:color="auto" w:fill="auto"/>
            <w:vAlign w:val="center"/>
          </w:tcPr>
          <w:p w14:paraId="4404B908">
            <w:pPr>
              <w:pStyle w:val="56"/>
              <w:widowControl w:val="0"/>
              <w:numPr>
                <w:ilvl w:val="0"/>
                <w:numId w:val="6"/>
              </w:numPr>
              <w:spacing w:before="120" w:after="120"/>
              <w:jc w:val="center"/>
              <w:rPr>
                <w:b/>
                <w:iCs/>
                <w:spacing w:val="-6"/>
                <w:sz w:val="16"/>
                <w:szCs w:val="16"/>
              </w:rPr>
            </w:pPr>
          </w:p>
        </w:tc>
        <w:tc>
          <w:tcPr>
            <w:tcW w:w="1417" w:type="dxa"/>
            <w:shd w:val="clear" w:color="auto" w:fill="auto"/>
          </w:tcPr>
          <w:p w14:paraId="043B3F0D">
            <w:pPr>
              <w:pStyle w:val="56"/>
              <w:widowControl w:val="0"/>
              <w:numPr>
                <w:ilvl w:val="0"/>
                <w:numId w:val="6"/>
              </w:numPr>
              <w:spacing w:before="120" w:after="120"/>
              <w:jc w:val="center"/>
              <w:rPr>
                <w:b/>
                <w:iCs/>
                <w:spacing w:val="-6"/>
                <w:sz w:val="16"/>
                <w:szCs w:val="16"/>
              </w:rPr>
            </w:pPr>
          </w:p>
        </w:tc>
        <w:tc>
          <w:tcPr>
            <w:tcW w:w="1134" w:type="dxa"/>
            <w:shd w:val="clear" w:color="auto" w:fill="auto"/>
          </w:tcPr>
          <w:p w14:paraId="6FEE92B6">
            <w:pPr>
              <w:pStyle w:val="56"/>
              <w:widowControl w:val="0"/>
              <w:numPr>
                <w:ilvl w:val="0"/>
                <w:numId w:val="6"/>
              </w:numPr>
              <w:spacing w:before="120" w:after="120"/>
              <w:jc w:val="center"/>
              <w:rPr>
                <w:b/>
                <w:iCs/>
                <w:spacing w:val="-6"/>
                <w:sz w:val="16"/>
                <w:szCs w:val="16"/>
              </w:rPr>
            </w:pPr>
          </w:p>
        </w:tc>
        <w:tc>
          <w:tcPr>
            <w:tcW w:w="2835" w:type="dxa"/>
            <w:shd w:val="clear" w:color="auto" w:fill="auto"/>
          </w:tcPr>
          <w:p w14:paraId="2E7F4AC7">
            <w:pPr>
              <w:pStyle w:val="56"/>
              <w:widowControl w:val="0"/>
              <w:numPr>
                <w:ilvl w:val="0"/>
                <w:numId w:val="6"/>
              </w:numPr>
              <w:spacing w:before="120" w:after="120"/>
              <w:jc w:val="center"/>
              <w:rPr>
                <w:b/>
                <w:iCs/>
                <w:spacing w:val="-6"/>
                <w:sz w:val="16"/>
                <w:szCs w:val="16"/>
              </w:rPr>
            </w:pPr>
          </w:p>
        </w:tc>
        <w:tc>
          <w:tcPr>
            <w:tcW w:w="1276" w:type="dxa"/>
            <w:shd w:val="clear" w:color="auto" w:fill="auto"/>
          </w:tcPr>
          <w:p w14:paraId="6464751B">
            <w:pPr>
              <w:pStyle w:val="56"/>
              <w:widowControl w:val="0"/>
              <w:numPr>
                <w:ilvl w:val="0"/>
                <w:numId w:val="6"/>
              </w:numPr>
              <w:spacing w:before="120" w:after="120"/>
              <w:jc w:val="center"/>
              <w:rPr>
                <w:b/>
                <w:iCs/>
                <w:spacing w:val="-6"/>
                <w:sz w:val="16"/>
                <w:szCs w:val="16"/>
              </w:rPr>
            </w:pPr>
          </w:p>
        </w:tc>
        <w:tc>
          <w:tcPr>
            <w:tcW w:w="1292" w:type="dxa"/>
          </w:tcPr>
          <w:p w14:paraId="7CED6B37">
            <w:pPr>
              <w:pStyle w:val="56"/>
              <w:widowControl w:val="0"/>
              <w:numPr>
                <w:ilvl w:val="0"/>
                <w:numId w:val="6"/>
              </w:numPr>
              <w:spacing w:before="120" w:after="120"/>
              <w:jc w:val="center"/>
              <w:rPr>
                <w:b/>
                <w:iCs/>
                <w:spacing w:val="-6"/>
                <w:sz w:val="16"/>
                <w:szCs w:val="16"/>
              </w:rPr>
            </w:pPr>
          </w:p>
        </w:tc>
      </w:tr>
      <w:tr w14:paraId="5599A78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4BA3EE9D">
            <w:pPr>
              <w:widowControl w:val="0"/>
              <w:spacing w:before="120" w:after="120"/>
              <w:jc w:val="center"/>
              <w:rPr>
                <w:bCs/>
                <w:iCs/>
                <w:spacing w:val="-6"/>
                <w:sz w:val="16"/>
                <w:szCs w:val="16"/>
                <w:lang w:val="ro-RO"/>
              </w:rPr>
            </w:pPr>
            <w:r>
              <w:rPr>
                <w:color w:val="000000"/>
                <w:sz w:val="16"/>
                <w:szCs w:val="16"/>
                <w:lang w:val="ro-RO"/>
              </w:rPr>
              <w:t>Stativ partituri</w:t>
            </w:r>
          </w:p>
        </w:tc>
        <w:tc>
          <w:tcPr>
            <w:tcW w:w="891" w:type="dxa"/>
            <w:vAlign w:val="center"/>
          </w:tcPr>
          <w:p w14:paraId="6B05E914">
            <w:pPr>
              <w:widowControl w:val="0"/>
              <w:spacing w:before="120" w:after="120"/>
              <w:jc w:val="center"/>
              <w:rPr>
                <w:bCs/>
                <w:spacing w:val="-6"/>
                <w:sz w:val="16"/>
                <w:szCs w:val="16"/>
                <w:lang w:val="ro-RO"/>
              </w:rPr>
            </w:pPr>
            <w:r>
              <w:rPr>
                <w:b/>
                <w:bCs/>
                <w:color w:val="000000"/>
                <w:sz w:val="16"/>
                <w:szCs w:val="16"/>
                <w:lang w:val="ro-RO"/>
              </w:rPr>
              <w:t>23</w:t>
            </w:r>
          </w:p>
        </w:tc>
        <w:tc>
          <w:tcPr>
            <w:tcW w:w="795" w:type="dxa"/>
            <w:shd w:val="clear" w:color="auto" w:fill="auto"/>
            <w:vAlign w:val="center"/>
          </w:tcPr>
          <w:p w14:paraId="5CCBA19F">
            <w:pPr>
              <w:widowControl w:val="0"/>
              <w:spacing w:before="120" w:after="120"/>
              <w:jc w:val="center"/>
              <w:rPr>
                <w:color w:val="000000"/>
                <w:spacing w:val="-6"/>
                <w:sz w:val="16"/>
                <w:szCs w:val="16"/>
                <w:lang w:val="ro-RO"/>
              </w:rPr>
            </w:pPr>
            <w:r>
              <w:rPr>
                <w:color w:val="000000"/>
                <w:spacing w:val="-6"/>
                <w:sz w:val="16"/>
                <w:szCs w:val="16"/>
                <w:lang w:val="ro-RO"/>
              </w:rPr>
              <w:t>bucată</w:t>
            </w:r>
          </w:p>
        </w:tc>
        <w:tc>
          <w:tcPr>
            <w:tcW w:w="1417" w:type="dxa"/>
            <w:shd w:val="clear" w:color="auto" w:fill="auto"/>
            <w:vAlign w:val="center"/>
          </w:tcPr>
          <w:p w14:paraId="0B042642">
            <w:pPr>
              <w:widowControl w:val="0"/>
              <w:spacing w:before="120" w:after="120"/>
              <w:jc w:val="center"/>
              <w:rPr>
                <w:color w:val="000000"/>
                <w:spacing w:val="-6"/>
                <w:sz w:val="16"/>
                <w:szCs w:val="16"/>
                <w:lang w:val="ro-RO"/>
              </w:rPr>
            </w:pPr>
            <w:r>
              <w:rPr>
                <w:color w:val="000000"/>
                <w:spacing w:val="-6"/>
                <w:sz w:val="16"/>
                <w:szCs w:val="16"/>
                <w:lang w:val="ro-RO"/>
              </w:rPr>
              <w:t>Municipiul Slobozia, conform repartizării indicată de către Autoritatea Contractantă / specificată în Anexa 1</w:t>
            </w:r>
          </w:p>
        </w:tc>
        <w:tc>
          <w:tcPr>
            <w:tcW w:w="1134" w:type="dxa"/>
            <w:shd w:val="clear" w:color="auto" w:fill="auto"/>
            <w:vAlign w:val="center"/>
          </w:tcPr>
          <w:p w14:paraId="393C6F1E">
            <w:pPr>
              <w:widowControl w:val="0"/>
              <w:spacing w:before="120" w:after="120"/>
              <w:jc w:val="center"/>
              <w:rPr>
                <w:color w:val="000000"/>
                <w:spacing w:val="-6"/>
                <w:sz w:val="16"/>
                <w:szCs w:val="16"/>
                <w:lang w:val="ro-RO"/>
              </w:rPr>
            </w:pPr>
            <w:r>
              <w:rPr>
                <w:rFonts w:hint="default"/>
                <w:color w:val="auto"/>
                <w:sz w:val="16"/>
                <w:szCs w:val="16"/>
                <w:lang w:val="en-US"/>
              </w:rPr>
              <w:t>1</w:t>
            </w:r>
            <w:r>
              <w:rPr>
                <w:color w:val="auto"/>
                <w:sz w:val="16"/>
                <w:szCs w:val="16"/>
                <w:lang w:val="ro-RO"/>
              </w:rPr>
              <w:t>0 de zile de la data lansării comenzi</w:t>
            </w:r>
          </w:p>
        </w:tc>
        <w:tc>
          <w:tcPr>
            <w:tcW w:w="2835" w:type="dxa"/>
            <w:shd w:val="clear" w:color="auto" w:fill="auto"/>
            <w:vAlign w:val="center"/>
          </w:tcPr>
          <w:p w14:paraId="5E7FB421">
            <w:pPr>
              <w:pStyle w:val="56"/>
              <w:widowControl w:val="0"/>
              <w:numPr>
                <w:ilvl w:val="0"/>
                <w:numId w:val="7"/>
              </w:numPr>
              <w:spacing w:before="120" w:after="120"/>
              <w:ind w:left="140" w:leftChars="0" w:hanging="142" w:firstLineChars="0"/>
              <w:rPr>
                <w:color w:val="000000"/>
                <w:sz w:val="16"/>
                <w:szCs w:val="16"/>
              </w:rPr>
            </w:pPr>
            <w:r>
              <w:rPr>
                <w:color w:val="000000"/>
                <w:sz w:val="16"/>
                <w:szCs w:val="16"/>
              </w:rPr>
              <w:t>Stativ pliabil, reglabil pe înălțime, fabricat din oțel, ideal pentru susținerea partiturilor în timpul repetițiilor sau spectacolelor;</w:t>
            </w:r>
          </w:p>
          <w:p w14:paraId="642E34D8">
            <w:pPr>
              <w:pStyle w:val="56"/>
              <w:widowControl w:val="0"/>
              <w:numPr>
                <w:ilvl w:val="0"/>
                <w:numId w:val="7"/>
              </w:numPr>
              <w:spacing w:before="120" w:after="120"/>
              <w:ind w:left="140" w:leftChars="0" w:hanging="142" w:firstLineChars="0"/>
              <w:rPr>
                <w:color w:val="000000"/>
                <w:sz w:val="16"/>
                <w:szCs w:val="16"/>
              </w:rPr>
            </w:pPr>
            <w:r>
              <w:rPr>
                <w:color w:val="000000"/>
                <w:sz w:val="16"/>
                <w:szCs w:val="16"/>
              </w:rPr>
              <w:t>Reglare înălțime: minim intervalul 70 cm - 120 cm.</w:t>
            </w:r>
          </w:p>
          <w:p w14:paraId="5BAE4105">
            <w:pPr>
              <w:pStyle w:val="56"/>
              <w:widowControl w:val="0"/>
              <w:numPr>
                <w:ilvl w:val="0"/>
                <w:numId w:val="7"/>
              </w:numPr>
              <w:spacing w:before="120" w:after="120"/>
              <w:ind w:left="140" w:leftChars="0" w:hanging="142" w:firstLineChars="0"/>
              <w:rPr>
                <w:color w:val="000000"/>
                <w:sz w:val="16"/>
                <w:szCs w:val="16"/>
              </w:rPr>
            </w:pPr>
            <w:r>
              <w:rPr>
                <w:color w:val="000000"/>
                <w:sz w:val="16"/>
                <w:szCs w:val="16"/>
              </w:rPr>
              <w:t>Dimensiuni pupitru: minim 46,5 cm x 29 cm</w:t>
            </w:r>
          </w:p>
          <w:p w14:paraId="47015500">
            <w:pPr>
              <w:pStyle w:val="56"/>
              <w:widowControl w:val="0"/>
              <w:numPr>
                <w:ilvl w:val="0"/>
                <w:numId w:val="7"/>
              </w:numPr>
              <w:spacing w:before="120" w:after="120"/>
              <w:ind w:left="140" w:leftChars="0" w:hanging="142" w:firstLineChars="0"/>
              <w:rPr>
                <w:color w:val="000000"/>
                <w:sz w:val="16"/>
                <w:szCs w:val="16"/>
              </w:rPr>
            </w:pPr>
            <w:r>
              <w:rPr>
                <w:color w:val="000000"/>
                <w:sz w:val="16"/>
                <w:szCs w:val="16"/>
              </w:rPr>
              <w:t>Lungime pliat: maxim 60 cm</w:t>
            </w:r>
          </w:p>
          <w:p w14:paraId="1926C854">
            <w:pPr>
              <w:pStyle w:val="56"/>
              <w:widowControl w:val="0"/>
              <w:numPr>
                <w:ilvl w:val="0"/>
                <w:numId w:val="7"/>
              </w:numPr>
              <w:spacing w:before="120" w:after="120"/>
              <w:ind w:left="140" w:leftChars="0" w:hanging="142" w:firstLineChars="0"/>
              <w:rPr>
                <w:color w:val="000000"/>
                <w:sz w:val="16"/>
                <w:szCs w:val="16"/>
              </w:rPr>
            </w:pPr>
            <w:r>
              <w:rPr>
                <w:color w:val="000000"/>
                <w:sz w:val="16"/>
                <w:szCs w:val="16"/>
              </w:rPr>
              <w:t>Material: oțel sau echivalent</w:t>
            </w:r>
          </w:p>
          <w:p w14:paraId="7FE0047F">
            <w:pPr>
              <w:pStyle w:val="56"/>
              <w:widowControl w:val="0"/>
              <w:numPr>
                <w:ilvl w:val="0"/>
                <w:numId w:val="7"/>
              </w:numPr>
              <w:spacing w:before="120" w:after="120"/>
              <w:ind w:left="140" w:leftChars="0" w:hanging="142" w:firstLineChars="0"/>
              <w:rPr>
                <w:color w:val="000000"/>
                <w:sz w:val="16"/>
                <w:szCs w:val="16"/>
              </w:rPr>
            </w:pPr>
            <w:r>
              <w:rPr>
                <w:color w:val="000000"/>
                <w:sz w:val="16"/>
                <w:szCs w:val="16"/>
              </w:rPr>
              <w:t>Accesorii incluse: husă de transport</w:t>
            </w:r>
          </w:p>
        </w:tc>
        <w:tc>
          <w:tcPr>
            <w:tcW w:w="1276" w:type="dxa"/>
            <w:shd w:val="clear" w:color="auto" w:fill="auto"/>
            <w:vAlign w:val="center"/>
          </w:tcPr>
          <w:p w14:paraId="50196F00">
            <w:pPr>
              <w:widowControl w:val="0"/>
              <w:spacing w:before="120" w:after="120"/>
              <w:jc w:val="center"/>
              <w:rPr>
                <w:color w:val="000000"/>
                <w:spacing w:val="-6"/>
                <w:sz w:val="16"/>
                <w:szCs w:val="16"/>
                <w:lang w:val="ro-RO"/>
              </w:rPr>
            </w:pPr>
            <w:r>
              <w:rPr>
                <w:color w:val="000000"/>
                <w:spacing w:val="-6"/>
                <w:sz w:val="16"/>
                <w:szCs w:val="16"/>
                <w:lang w:val="ro-RO"/>
              </w:rPr>
              <w:t>Nu este cazul</w:t>
            </w:r>
          </w:p>
        </w:tc>
        <w:tc>
          <w:tcPr>
            <w:tcW w:w="1292" w:type="dxa"/>
            <w:vAlign w:val="center"/>
          </w:tcPr>
          <w:p w14:paraId="7AC43E5E">
            <w:pPr>
              <w:widowControl w:val="0"/>
              <w:spacing w:before="120" w:after="120"/>
              <w:jc w:val="center"/>
              <w:rPr>
                <w:color w:val="000000"/>
                <w:spacing w:val="-6"/>
                <w:sz w:val="16"/>
                <w:szCs w:val="16"/>
                <w:lang w:val="ro-RO"/>
              </w:rPr>
            </w:pPr>
            <w:r>
              <w:rPr>
                <w:color w:val="000000"/>
                <w:spacing w:val="-6"/>
                <w:sz w:val="16"/>
                <w:szCs w:val="16"/>
                <w:lang w:val="ro-RO"/>
              </w:rPr>
              <w:t>Minim 36 luni</w:t>
            </w:r>
          </w:p>
        </w:tc>
      </w:tr>
      <w:tr w14:paraId="03CBEEE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02BC471A">
            <w:pPr>
              <w:widowControl w:val="0"/>
              <w:spacing w:before="120" w:after="120"/>
              <w:jc w:val="center"/>
              <w:rPr>
                <w:bCs/>
                <w:iCs/>
                <w:spacing w:val="-6"/>
                <w:sz w:val="16"/>
                <w:szCs w:val="16"/>
                <w:lang w:val="ro-RO"/>
              </w:rPr>
            </w:pPr>
            <w:r>
              <w:rPr>
                <w:color w:val="000000"/>
                <w:sz w:val="16"/>
                <w:szCs w:val="16"/>
                <w:lang w:val="ro-RO"/>
              </w:rPr>
              <w:t>Scaun pentru pianină</w:t>
            </w:r>
          </w:p>
        </w:tc>
        <w:tc>
          <w:tcPr>
            <w:tcW w:w="891" w:type="dxa"/>
            <w:vAlign w:val="center"/>
          </w:tcPr>
          <w:p w14:paraId="0C006340">
            <w:pPr>
              <w:widowControl w:val="0"/>
              <w:spacing w:before="120" w:after="120"/>
              <w:jc w:val="center"/>
              <w:rPr>
                <w:bCs/>
                <w:i/>
                <w:iCs/>
                <w:spacing w:val="-6"/>
                <w:sz w:val="16"/>
                <w:szCs w:val="16"/>
                <w:lang w:val="ro-RO"/>
              </w:rPr>
            </w:pPr>
            <w:r>
              <w:rPr>
                <w:b/>
                <w:bCs/>
                <w:color w:val="000000"/>
                <w:sz w:val="16"/>
                <w:szCs w:val="16"/>
                <w:lang w:val="ro-RO"/>
              </w:rPr>
              <w:t>5</w:t>
            </w:r>
          </w:p>
        </w:tc>
        <w:tc>
          <w:tcPr>
            <w:tcW w:w="795" w:type="dxa"/>
            <w:shd w:val="clear" w:color="auto" w:fill="auto"/>
            <w:vAlign w:val="center"/>
          </w:tcPr>
          <w:p w14:paraId="05EC4794">
            <w:pPr>
              <w:widowControl w:val="0"/>
              <w:spacing w:before="120" w:after="120"/>
              <w:jc w:val="center"/>
              <w:rPr>
                <w:color w:val="000000"/>
                <w:spacing w:val="-6"/>
                <w:sz w:val="16"/>
                <w:szCs w:val="16"/>
                <w:lang w:val="ro-RO"/>
              </w:rPr>
            </w:pPr>
            <w:r>
              <w:rPr>
                <w:color w:val="000000"/>
                <w:spacing w:val="-6"/>
                <w:sz w:val="16"/>
                <w:szCs w:val="16"/>
                <w:lang w:val="ro-RO"/>
              </w:rPr>
              <w:t>bucată</w:t>
            </w:r>
          </w:p>
        </w:tc>
        <w:tc>
          <w:tcPr>
            <w:tcW w:w="1417" w:type="dxa"/>
            <w:shd w:val="clear" w:color="auto" w:fill="auto"/>
            <w:vAlign w:val="center"/>
          </w:tcPr>
          <w:p w14:paraId="54829B26">
            <w:pPr>
              <w:widowControl w:val="0"/>
              <w:spacing w:before="120" w:after="120"/>
              <w:jc w:val="center"/>
              <w:rPr>
                <w:color w:val="000000"/>
                <w:spacing w:val="-6"/>
                <w:sz w:val="16"/>
                <w:szCs w:val="16"/>
                <w:lang w:val="ro-RO"/>
              </w:rPr>
            </w:pPr>
            <w:r>
              <w:rPr>
                <w:color w:val="000000"/>
                <w:spacing w:val="-6"/>
                <w:sz w:val="16"/>
                <w:szCs w:val="16"/>
                <w:lang w:val="ro-RO"/>
              </w:rPr>
              <w:t>Municipiul Slobozia, conform repartizării indicată de către Autoritatea Contractantă / specificată în Anexa 1</w:t>
            </w:r>
          </w:p>
        </w:tc>
        <w:tc>
          <w:tcPr>
            <w:tcW w:w="1134" w:type="dxa"/>
            <w:shd w:val="clear" w:color="auto" w:fill="auto"/>
            <w:vAlign w:val="center"/>
          </w:tcPr>
          <w:p w14:paraId="3186D9B3">
            <w:pPr>
              <w:widowControl w:val="0"/>
              <w:spacing w:before="120" w:after="120"/>
              <w:jc w:val="center"/>
              <w:rPr>
                <w:color w:val="000000"/>
                <w:spacing w:val="-6"/>
                <w:sz w:val="16"/>
                <w:szCs w:val="16"/>
                <w:lang w:val="ro-RO"/>
              </w:rPr>
            </w:pPr>
            <w:r>
              <w:rPr>
                <w:rFonts w:hint="default"/>
                <w:color w:val="auto"/>
                <w:sz w:val="16"/>
                <w:szCs w:val="16"/>
                <w:lang w:val="en-US"/>
              </w:rPr>
              <w:t>1</w:t>
            </w:r>
            <w:r>
              <w:rPr>
                <w:color w:val="auto"/>
                <w:sz w:val="16"/>
                <w:szCs w:val="16"/>
                <w:lang w:val="ro-RO"/>
              </w:rPr>
              <w:t>0 de zile de la data lansării comenzi</w:t>
            </w:r>
          </w:p>
        </w:tc>
        <w:tc>
          <w:tcPr>
            <w:tcW w:w="2835" w:type="dxa"/>
            <w:shd w:val="clear" w:color="auto" w:fill="auto"/>
            <w:vAlign w:val="center"/>
          </w:tcPr>
          <w:p w14:paraId="1D5A7342">
            <w:pPr>
              <w:pStyle w:val="56"/>
              <w:widowControl w:val="0"/>
              <w:numPr>
                <w:ilvl w:val="0"/>
                <w:numId w:val="7"/>
              </w:numPr>
              <w:spacing w:before="120" w:after="120"/>
              <w:ind w:left="140" w:leftChars="0" w:hanging="142" w:firstLineChars="0"/>
              <w:rPr>
                <w:color w:val="auto"/>
                <w:sz w:val="16"/>
                <w:szCs w:val="16"/>
              </w:rPr>
            </w:pPr>
            <w:r>
              <w:rPr>
                <w:color w:val="000000"/>
                <w:sz w:val="16"/>
                <w:szCs w:val="16"/>
              </w:rPr>
              <w:t>Dimensiuni șezut:</w:t>
            </w:r>
            <w:r>
              <w:rPr>
                <w:color w:val="auto"/>
                <w:sz w:val="16"/>
                <w:szCs w:val="16"/>
              </w:rPr>
              <w:t xml:space="preserve"> aproximativ 52 x 30 cm (+/- 10%);</w:t>
            </w:r>
          </w:p>
          <w:p w14:paraId="32046C8A">
            <w:pPr>
              <w:pStyle w:val="56"/>
              <w:widowControl w:val="0"/>
              <w:numPr>
                <w:ilvl w:val="0"/>
                <w:numId w:val="7"/>
              </w:numPr>
              <w:spacing w:before="120" w:after="120"/>
              <w:ind w:left="140" w:leftChars="0" w:hanging="142" w:firstLineChars="0"/>
              <w:rPr>
                <w:color w:val="auto"/>
                <w:sz w:val="16"/>
                <w:szCs w:val="16"/>
              </w:rPr>
            </w:pPr>
            <w:r>
              <w:rPr>
                <w:color w:val="auto"/>
                <w:sz w:val="16"/>
                <w:szCs w:val="16"/>
              </w:rPr>
              <w:t>Înălțime reglabilă: minim 50 cm – 55 cm.</w:t>
            </w:r>
          </w:p>
          <w:p w14:paraId="6EC4C17F">
            <w:pPr>
              <w:pStyle w:val="56"/>
              <w:widowControl w:val="0"/>
              <w:numPr>
                <w:ilvl w:val="0"/>
                <w:numId w:val="7"/>
              </w:numPr>
              <w:spacing w:before="120" w:after="120"/>
              <w:ind w:left="140" w:leftChars="0" w:hanging="142" w:firstLineChars="0"/>
              <w:rPr>
                <w:color w:val="auto"/>
                <w:sz w:val="16"/>
                <w:szCs w:val="16"/>
              </w:rPr>
            </w:pPr>
            <w:r>
              <w:rPr>
                <w:color w:val="auto"/>
                <w:sz w:val="16"/>
                <w:szCs w:val="16"/>
              </w:rPr>
              <w:t>Material cadru: Lemn masiv cu finisaj negru mat​</w:t>
            </w:r>
          </w:p>
          <w:p w14:paraId="0D401D66">
            <w:pPr>
              <w:pStyle w:val="56"/>
              <w:widowControl w:val="0"/>
              <w:numPr>
                <w:ilvl w:val="0"/>
                <w:numId w:val="7"/>
              </w:numPr>
              <w:spacing w:before="120" w:after="120"/>
              <w:ind w:left="140" w:leftChars="0" w:hanging="142" w:firstLineChars="0"/>
              <w:rPr>
                <w:color w:val="auto"/>
                <w:sz w:val="16"/>
                <w:szCs w:val="16"/>
              </w:rPr>
            </w:pPr>
            <w:r>
              <w:rPr>
                <w:color w:val="auto"/>
                <w:sz w:val="16"/>
                <w:szCs w:val="16"/>
              </w:rPr>
              <w:t>Material șezut: Velur negru sau echivalent</w:t>
            </w:r>
          </w:p>
          <w:p w14:paraId="6FB49A0F">
            <w:pPr>
              <w:pStyle w:val="56"/>
              <w:widowControl w:val="0"/>
              <w:numPr>
                <w:ilvl w:val="0"/>
                <w:numId w:val="7"/>
              </w:numPr>
              <w:spacing w:before="120" w:after="120"/>
              <w:ind w:left="140" w:leftChars="0" w:hanging="142" w:firstLineChars="0"/>
              <w:rPr>
                <w:color w:val="000000"/>
                <w:sz w:val="16"/>
                <w:szCs w:val="16"/>
              </w:rPr>
            </w:pPr>
            <w:r>
              <w:rPr>
                <w:color w:val="000000"/>
                <w:sz w:val="16"/>
                <w:szCs w:val="16"/>
              </w:rPr>
              <w:t>Mecanism de reglare: Sistem de tip foarfecă pentru ajustare ușoară și precisă a înălțimii</w:t>
            </w:r>
          </w:p>
        </w:tc>
        <w:tc>
          <w:tcPr>
            <w:tcW w:w="1276" w:type="dxa"/>
            <w:shd w:val="clear" w:color="auto" w:fill="auto"/>
            <w:vAlign w:val="center"/>
          </w:tcPr>
          <w:p w14:paraId="7E8720A4">
            <w:pPr>
              <w:widowControl w:val="0"/>
              <w:spacing w:before="120" w:after="120"/>
              <w:jc w:val="center"/>
              <w:rPr>
                <w:color w:val="000000"/>
                <w:spacing w:val="-6"/>
                <w:sz w:val="16"/>
                <w:szCs w:val="16"/>
                <w:lang w:val="ro-RO"/>
              </w:rPr>
            </w:pPr>
            <w:r>
              <w:rPr>
                <w:color w:val="000000"/>
                <w:spacing w:val="-6"/>
                <w:sz w:val="16"/>
                <w:szCs w:val="16"/>
                <w:lang w:val="ro-RO"/>
              </w:rPr>
              <w:t>Nu este cazul</w:t>
            </w:r>
          </w:p>
        </w:tc>
        <w:tc>
          <w:tcPr>
            <w:tcW w:w="1292" w:type="dxa"/>
            <w:vAlign w:val="center"/>
          </w:tcPr>
          <w:p w14:paraId="20FC22B3">
            <w:pPr>
              <w:widowControl w:val="0"/>
              <w:spacing w:before="120" w:after="120"/>
              <w:jc w:val="center"/>
              <w:rPr>
                <w:color w:val="000000"/>
                <w:spacing w:val="-6"/>
                <w:sz w:val="16"/>
                <w:szCs w:val="16"/>
                <w:lang w:val="ro-RO"/>
              </w:rPr>
            </w:pPr>
            <w:r>
              <w:rPr>
                <w:color w:val="000000"/>
                <w:spacing w:val="-6"/>
                <w:sz w:val="16"/>
                <w:szCs w:val="16"/>
                <w:lang w:val="ro-RO"/>
              </w:rPr>
              <w:t>Minim 36 luni</w:t>
            </w:r>
          </w:p>
        </w:tc>
      </w:tr>
      <w:tr w14:paraId="20F9BDE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41986DB4">
            <w:pPr>
              <w:widowControl w:val="0"/>
              <w:spacing w:before="120" w:after="120"/>
              <w:jc w:val="center"/>
              <w:rPr>
                <w:bCs/>
                <w:iCs/>
                <w:spacing w:val="-6"/>
                <w:sz w:val="16"/>
                <w:szCs w:val="16"/>
                <w:lang w:val="ro-RO"/>
              </w:rPr>
            </w:pPr>
            <w:r>
              <w:rPr>
                <w:color w:val="000000"/>
                <w:sz w:val="16"/>
                <w:szCs w:val="16"/>
                <w:lang w:val="ro-RO"/>
              </w:rPr>
              <w:t>Set vioară acustică 3/4</w:t>
            </w:r>
          </w:p>
        </w:tc>
        <w:tc>
          <w:tcPr>
            <w:tcW w:w="891" w:type="dxa"/>
            <w:vAlign w:val="center"/>
          </w:tcPr>
          <w:p w14:paraId="0FB57A2B">
            <w:pPr>
              <w:widowControl w:val="0"/>
              <w:spacing w:before="120" w:after="120"/>
              <w:jc w:val="center"/>
              <w:rPr>
                <w:bCs/>
                <w:i/>
                <w:iCs/>
                <w:spacing w:val="-6"/>
                <w:sz w:val="16"/>
                <w:szCs w:val="16"/>
                <w:lang w:val="ro-RO"/>
              </w:rPr>
            </w:pPr>
            <w:r>
              <w:rPr>
                <w:b/>
                <w:bCs/>
                <w:color w:val="000000"/>
                <w:sz w:val="16"/>
                <w:szCs w:val="16"/>
                <w:lang w:val="ro-RO"/>
              </w:rPr>
              <w:t>2</w:t>
            </w:r>
          </w:p>
        </w:tc>
        <w:tc>
          <w:tcPr>
            <w:tcW w:w="795" w:type="dxa"/>
            <w:shd w:val="clear" w:color="auto" w:fill="auto"/>
            <w:vAlign w:val="center"/>
          </w:tcPr>
          <w:p w14:paraId="401C8D0D">
            <w:pPr>
              <w:widowControl w:val="0"/>
              <w:spacing w:before="120" w:after="120"/>
              <w:jc w:val="center"/>
              <w:rPr>
                <w:rFonts w:hint="default"/>
                <w:strike/>
                <w:color w:val="000000"/>
                <w:spacing w:val="-6"/>
                <w:sz w:val="16"/>
                <w:szCs w:val="16"/>
                <w:lang w:val="ro-RO"/>
              </w:rPr>
            </w:pPr>
            <w:r>
              <w:rPr>
                <w:rFonts w:hint="default"/>
                <w:strike w:val="0"/>
                <w:color w:val="000000"/>
                <w:spacing w:val="-6"/>
                <w:sz w:val="16"/>
                <w:szCs w:val="16"/>
                <w:lang w:val="ro-RO"/>
              </w:rPr>
              <w:t>set</w:t>
            </w:r>
          </w:p>
        </w:tc>
        <w:tc>
          <w:tcPr>
            <w:tcW w:w="1417" w:type="dxa"/>
            <w:shd w:val="clear" w:color="auto" w:fill="auto"/>
            <w:vAlign w:val="center"/>
          </w:tcPr>
          <w:p w14:paraId="225C05DD">
            <w:pPr>
              <w:widowControl w:val="0"/>
              <w:spacing w:before="120" w:after="120"/>
              <w:jc w:val="center"/>
              <w:rPr>
                <w:color w:val="000000"/>
                <w:spacing w:val="-6"/>
                <w:sz w:val="16"/>
                <w:szCs w:val="16"/>
                <w:lang w:val="ro-RO"/>
              </w:rPr>
            </w:pPr>
            <w:r>
              <w:rPr>
                <w:color w:val="000000"/>
                <w:spacing w:val="-6"/>
                <w:sz w:val="16"/>
                <w:szCs w:val="16"/>
                <w:lang w:val="ro-RO"/>
              </w:rPr>
              <w:t>Municipiul Slobozia, conform repartizării indicată de către Autoritatea Contractantă / specificată în Anexa 1</w:t>
            </w:r>
          </w:p>
        </w:tc>
        <w:tc>
          <w:tcPr>
            <w:tcW w:w="1134" w:type="dxa"/>
            <w:shd w:val="clear" w:color="auto" w:fill="auto"/>
            <w:vAlign w:val="center"/>
          </w:tcPr>
          <w:p w14:paraId="3F59B678">
            <w:pPr>
              <w:widowControl w:val="0"/>
              <w:spacing w:before="120" w:after="120"/>
              <w:jc w:val="center"/>
              <w:rPr>
                <w:color w:val="000000"/>
                <w:spacing w:val="-6"/>
                <w:sz w:val="16"/>
                <w:szCs w:val="16"/>
                <w:lang w:val="ro-RO"/>
              </w:rPr>
            </w:pPr>
            <w:r>
              <w:rPr>
                <w:rFonts w:hint="default"/>
                <w:color w:val="auto"/>
                <w:sz w:val="16"/>
                <w:szCs w:val="16"/>
                <w:lang w:val="en-US"/>
              </w:rPr>
              <w:t>1</w:t>
            </w:r>
            <w:r>
              <w:rPr>
                <w:color w:val="auto"/>
                <w:sz w:val="16"/>
                <w:szCs w:val="16"/>
                <w:lang w:val="ro-RO"/>
              </w:rPr>
              <w:t>0 de zile de la data lansării comenzi</w:t>
            </w:r>
          </w:p>
        </w:tc>
        <w:tc>
          <w:tcPr>
            <w:tcW w:w="2835" w:type="dxa"/>
            <w:shd w:val="clear" w:color="auto" w:fill="auto"/>
            <w:vAlign w:val="center"/>
          </w:tcPr>
          <w:p w14:paraId="6FB9E27F">
            <w:pPr>
              <w:pStyle w:val="56"/>
              <w:widowControl w:val="0"/>
              <w:numPr>
                <w:ilvl w:val="0"/>
                <w:numId w:val="7"/>
              </w:numPr>
              <w:spacing w:before="120" w:after="120"/>
              <w:ind w:left="140" w:leftChars="0" w:hanging="142" w:firstLineChars="0"/>
              <w:rPr>
                <w:color w:val="000000"/>
                <w:sz w:val="16"/>
                <w:szCs w:val="16"/>
              </w:rPr>
            </w:pPr>
            <w:r>
              <w:rPr>
                <w:color w:val="000000"/>
                <w:sz w:val="16"/>
                <w:szCs w:val="16"/>
              </w:rPr>
              <w:t>Mărime 3/4 (potrivită pentru copii cu vârsta între 9 și 12 ani sau cu o lungime a brațului de aproximativ 56-60 cm);</w:t>
            </w:r>
          </w:p>
          <w:p w14:paraId="49331839">
            <w:pPr>
              <w:pStyle w:val="56"/>
              <w:widowControl w:val="0"/>
              <w:numPr>
                <w:ilvl w:val="0"/>
                <w:numId w:val="7"/>
              </w:numPr>
              <w:spacing w:before="120" w:after="120"/>
              <w:ind w:left="140" w:leftChars="0" w:hanging="142" w:firstLineChars="0"/>
              <w:rPr>
                <w:color w:val="000000"/>
                <w:sz w:val="16"/>
                <w:szCs w:val="16"/>
              </w:rPr>
            </w:pPr>
            <w:r>
              <w:rPr>
                <w:color w:val="000000"/>
                <w:sz w:val="16"/>
                <w:szCs w:val="16"/>
              </w:rPr>
              <w:t>Setul include: vioara , arcuș, toc rigid, sacâz</w:t>
            </w:r>
          </w:p>
          <w:p w14:paraId="483526BC">
            <w:pPr>
              <w:pStyle w:val="56"/>
              <w:widowControl w:val="0"/>
              <w:numPr>
                <w:ilvl w:val="0"/>
                <w:numId w:val="7"/>
              </w:numPr>
              <w:spacing w:before="120" w:after="120"/>
              <w:ind w:left="142" w:leftChars="0" w:hanging="142" w:firstLineChars="0"/>
              <w:rPr>
                <w:strike/>
                <w:color w:val="auto"/>
                <w:sz w:val="16"/>
                <w:szCs w:val="16"/>
              </w:rPr>
            </w:pPr>
            <w:r>
              <w:rPr>
                <w:color w:val="000000"/>
                <w:sz w:val="16"/>
                <w:szCs w:val="16"/>
              </w:rPr>
              <w:t xml:space="preserve">Corp: Realizat din lemn </w:t>
            </w:r>
            <w:r>
              <w:rPr>
                <w:color w:val="auto"/>
                <w:sz w:val="16"/>
                <w:szCs w:val="16"/>
              </w:rPr>
              <w:t>de molid sau arțar.</w:t>
            </w:r>
          </w:p>
          <w:p w14:paraId="3A1BE6F2">
            <w:pPr>
              <w:pStyle w:val="56"/>
              <w:widowControl w:val="0"/>
              <w:numPr>
                <w:ilvl w:val="0"/>
                <w:numId w:val="7"/>
              </w:numPr>
              <w:spacing w:before="120" w:after="120"/>
              <w:ind w:left="140" w:leftChars="0" w:hanging="142" w:firstLineChars="0"/>
              <w:rPr>
                <w:color w:val="000000"/>
                <w:sz w:val="16"/>
                <w:szCs w:val="16"/>
              </w:rPr>
            </w:pPr>
            <w:r>
              <w:rPr>
                <w:color w:val="000000"/>
                <w:sz w:val="16"/>
                <w:szCs w:val="16"/>
              </w:rPr>
              <w:t>Gât, bărbie și cordar: Confecționate din plastic</w:t>
            </w:r>
            <w:r>
              <w:rPr>
                <w:color w:val="auto"/>
                <w:sz w:val="16"/>
                <w:szCs w:val="16"/>
              </w:rPr>
              <w:t xml:space="preserve"> sau lemn</w:t>
            </w:r>
          </w:p>
          <w:p w14:paraId="5B7793ED">
            <w:pPr>
              <w:pStyle w:val="56"/>
              <w:widowControl w:val="0"/>
              <w:numPr>
                <w:ilvl w:val="0"/>
                <w:numId w:val="7"/>
              </w:numPr>
              <w:spacing w:before="120" w:after="120"/>
              <w:ind w:left="140" w:leftChars="0" w:hanging="142" w:firstLineChars="0"/>
              <w:rPr>
                <w:color w:val="000000"/>
                <w:sz w:val="16"/>
                <w:szCs w:val="16"/>
              </w:rPr>
            </w:pPr>
            <w:r>
              <w:rPr>
                <w:color w:val="000000"/>
                <w:sz w:val="16"/>
                <w:szCs w:val="16"/>
              </w:rPr>
              <w:t xml:space="preserve">Corzi: Setul include patru corzi metalice </w:t>
            </w:r>
            <w:r>
              <w:rPr>
                <w:color w:val="auto"/>
                <w:sz w:val="16"/>
                <w:szCs w:val="16"/>
              </w:rPr>
              <w:t>sau sintetice</w:t>
            </w:r>
          </w:p>
        </w:tc>
        <w:tc>
          <w:tcPr>
            <w:tcW w:w="1276" w:type="dxa"/>
            <w:shd w:val="clear" w:color="auto" w:fill="auto"/>
            <w:vAlign w:val="center"/>
          </w:tcPr>
          <w:p w14:paraId="1572C5EA">
            <w:pPr>
              <w:widowControl w:val="0"/>
              <w:spacing w:before="120" w:after="120"/>
              <w:jc w:val="center"/>
              <w:rPr>
                <w:color w:val="000000"/>
                <w:spacing w:val="-6"/>
                <w:sz w:val="16"/>
                <w:szCs w:val="16"/>
                <w:lang w:val="ro-RO"/>
              </w:rPr>
            </w:pPr>
            <w:r>
              <w:rPr>
                <w:color w:val="000000"/>
                <w:spacing w:val="-6"/>
                <w:sz w:val="16"/>
                <w:szCs w:val="16"/>
                <w:lang w:val="ro-RO"/>
              </w:rPr>
              <w:t>Nu este cazul</w:t>
            </w:r>
          </w:p>
        </w:tc>
        <w:tc>
          <w:tcPr>
            <w:tcW w:w="1292" w:type="dxa"/>
            <w:vAlign w:val="center"/>
          </w:tcPr>
          <w:p w14:paraId="6F1F5B2D">
            <w:pPr>
              <w:widowControl w:val="0"/>
              <w:spacing w:before="120" w:after="120"/>
              <w:jc w:val="center"/>
              <w:rPr>
                <w:color w:val="000000"/>
                <w:spacing w:val="-6"/>
                <w:sz w:val="16"/>
                <w:szCs w:val="16"/>
                <w:lang w:val="ro-RO"/>
              </w:rPr>
            </w:pPr>
            <w:r>
              <w:rPr>
                <w:color w:val="000000"/>
                <w:spacing w:val="-6"/>
                <w:sz w:val="16"/>
                <w:szCs w:val="16"/>
                <w:lang w:val="ro-RO"/>
              </w:rPr>
              <w:t>Minim 36 luni</w:t>
            </w:r>
          </w:p>
        </w:tc>
      </w:tr>
      <w:tr w14:paraId="581744C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27F6A713">
            <w:pPr>
              <w:widowControl w:val="0"/>
              <w:spacing w:before="120" w:after="120"/>
              <w:jc w:val="center"/>
              <w:rPr>
                <w:bCs/>
                <w:iCs/>
                <w:spacing w:val="-6"/>
                <w:sz w:val="16"/>
                <w:szCs w:val="16"/>
                <w:lang w:val="ro-RO"/>
              </w:rPr>
            </w:pPr>
            <w:r>
              <w:rPr>
                <w:color w:val="000000"/>
                <w:sz w:val="16"/>
                <w:szCs w:val="16"/>
                <w:lang w:val="ro-RO"/>
              </w:rPr>
              <w:t>Set vioară acustică 1/4</w:t>
            </w:r>
          </w:p>
        </w:tc>
        <w:tc>
          <w:tcPr>
            <w:tcW w:w="891" w:type="dxa"/>
            <w:vAlign w:val="center"/>
          </w:tcPr>
          <w:p w14:paraId="3C74562D">
            <w:pPr>
              <w:widowControl w:val="0"/>
              <w:spacing w:before="120" w:after="120"/>
              <w:jc w:val="center"/>
              <w:rPr>
                <w:bCs/>
                <w:i/>
                <w:iCs/>
                <w:spacing w:val="-6"/>
                <w:sz w:val="16"/>
                <w:szCs w:val="16"/>
                <w:lang w:val="ro-RO"/>
              </w:rPr>
            </w:pPr>
            <w:r>
              <w:rPr>
                <w:b/>
                <w:bCs/>
                <w:color w:val="000000"/>
                <w:sz w:val="16"/>
                <w:szCs w:val="16"/>
                <w:lang w:val="ro-RO"/>
              </w:rPr>
              <w:t>1</w:t>
            </w:r>
          </w:p>
        </w:tc>
        <w:tc>
          <w:tcPr>
            <w:tcW w:w="795" w:type="dxa"/>
            <w:shd w:val="clear" w:color="auto" w:fill="auto"/>
            <w:vAlign w:val="center"/>
          </w:tcPr>
          <w:p w14:paraId="561AC0C2">
            <w:pPr>
              <w:widowControl w:val="0"/>
              <w:spacing w:before="120" w:after="120"/>
              <w:jc w:val="center"/>
              <w:rPr>
                <w:color w:val="auto"/>
                <w:spacing w:val="-6"/>
                <w:sz w:val="16"/>
                <w:szCs w:val="16"/>
                <w:lang w:val="ro-RO"/>
              </w:rPr>
            </w:pPr>
            <w:r>
              <w:rPr>
                <w:color w:val="auto"/>
                <w:spacing w:val="-6"/>
                <w:sz w:val="16"/>
                <w:szCs w:val="16"/>
                <w:lang w:val="ro-RO"/>
              </w:rPr>
              <w:t>set</w:t>
            </w:r>
          </w:p>
        </w:tc>
        <w:tc>
          <w:tcPr>
            <w:tcW w:w="1417" w:type="dxa"/>
            <w:shd w:val="clear" w:color="auto" w:fill="auto"/>
            <w:vAlign w:val="center"/>
          </w:tcPr>
          <w:p w14:paraId="5B61A618">
            <w:pPr>
              <w:widowControl w:val="0"/>
              <w:spacing w:before="120" w:after="120"/>
              <w:jc w:val="center"/>
              <w:rPr>
                <w:color w:val="auto"/>
                <w:spacing w:val="-6"/>
                <w:sz w:val="16"/>
                <w:szCs w:val="16"/>
                <w:lang w:val="ro-RO"/>
              </w:rPr>
            </w:pPr>
            <w:r>
              <w:rPr>
                <w:color w:val="auto"/>
                <w:spacing w:val="-6"/>
                <w:sz w:val="16"/>
                <w:szCs w:val="16"/>
                <w:lang w:val="ro-RO"/>
              </w:rPr>
              <w:t>Municipiul Slobozia, conform repartizării indicată de către Autoritatea Contractantă / specificată în Anexa 1</w:t>
            </w:r>
          </w:p>
        </w:tc>
        <w:tc>
          <w:tcPr>
            <w:tcW w:w="1134" w:type="dxa"/>
            <w:shd w:val="clear" w:color="auto" w:fill="auto"/>
            <w:vAlign w:val="center"/>
          </w:tcPr>
          <w:p w14:paraId="4C2DDBD5">
            <w:pPr>
              <w:widowControl w:val="0"/>
              <w:spacing w:before="120" w:after="120"/>
              <w:jc w:val="center"/>
              <w:rPr>
                <w:color w:val="000000"/>
                <w:spacing w:val="-6"/>
                <w:sz w:val="16"/>
                <w:szCs w:val="16"/>
                <w:lang w:val="ro-RO"/>
              </w:rPr>
            </w:pPr>
            <w:r>
              <w:rPr>
                <w:rFonts w:hint="default"/>
                <w:color w:val="auto"/>
                <w:sz w:val="16"/>
                <w:szCs w:val="16"/>
                <w:lang w:val="en-US"/>
              </w:rPr>
              <w:t>1</w:t>
            </w:r>
            <w:r>
              <w:rPr>
                <w:color w:val="auto"/>
                <w:sz w:val="16"/>
                <w:szCs w:val="16"/>
                <w:lang w:val="ro-RO"/>
              </w:rPr>
              <w:t>0 de zile de la data lansării comenzi</w:t>
            </w:r>
          </w:p>
        </w:tc>
        <w:tc>
          <w:tcPr>
            <w:tcW w:w="2835" w:type="dxa"/>
            <w:shd w:val="clear" w:color="auto" w:fill="auto"/>
            <w:vAlign w:val="center"/>
          </w:tcPr>
          <w:p w14:paraId="1657508D">
            <w:pPr>
              <w:pStyle w:val="56"/>
              <w:widowControl w:val="0"/>
              <w:numPr>
                <w:ilvl w:val="0"/>
                <w:numId w:val="7"/>
              </w:numPr>
              <w:spacing w:before="120" w:after="120"/>
              <w:ind w:left="140" w:leftChars="0" w:hanging="142" w:firstLineChars="0"/>
              <w:rPr>
                <w:color w:val="000000"/>
                <w:sz w:val="16"/>
                <w:szCs w:val="16"/>
              </w:rPr>
            </w:pPr>
            <w:r>
              <w:rPr>
                <w:color w:val="000000"/>
                <w:sz w:val="16"/>
                <w:szCs w:val="16"/>
              </w:rPr>
              <w:t>Mărime 1/4 (potrivită pentru copii cu vârsta între 3 și 6 ani sau cu o lungime a brațului de aproximativ 47-52 cm);</w:t>
            </w:r>
          </w:p>
          <w:p w14:paraId="2EB9E05B">
            <w:pPr>
              <w:pStyle w:val="56"/>
              <w:widowControl w:val="0"/>
              <w:numPr>
                <w:ilvl w:val="0"/>
                <w:numId w:val="7"/>
              </w:numPr>
              <w:spacing w:before="120" w:after="120"/>
              <w:ind w:left="140" w:leftChars="0" w:hanging="142" w:firstLineChars="0"/>
              <w:rPr>
                <w:color w:val="000000"/>
                <w:sz w:val="16"/>
                <w:szCs w:val="16"/>
              </w:rPr>
            </w:pPr>
            <w:r>
              <w:rPr>
                <w:color w:val="000000"/>
                <w:sz w:val="16"/>
                <w:szCs w:val="16"/>
              </w:rPr>
              <w:t>Setul include: vioara, arcuș, toc rigid, sacâz</w:t>
            </w:r>
          </w:p>
          <w:p w14:paraId="2BE0C034">
            <w:pPr>
              <w:pStyle w:val="56"/>
              <w:widowControl w:val="0"/>
              <w:numPr>
                <w:ilvl w:val="0"/>
                <w:numId w:val="7"/>
              </w:numPr>
              <w:spacing w:before="120" w:after="120"/>
              <w:ind w:left="140" w:leftChars="0" w:hanging="142" w:firstLineChars="0"/>
              <w:rPr>
                <w:color w:val="auto"/>
                <w:sz w:val="16"/>
                <w:szCs w:val="16"/>
              </w:rPr>
            </w:pPr>
            <w:r>
              <w:rPr>
                <w:color w:val="000000"/>
                <w:sz w:val="16"/>
                <w:szCs w:val="16"/>
              </w:rPr>
              <w:t xml:space="preserve">Corp: Realizat din lemn </w:t>
            </w:r>
            <w:r>
              <w:rPr>
                <w:rFonts w:hint="default"/>
                <w:color w:val="000000"/>
                <w:sz w:val="16"/>
                <w:szCs w:val="16"/>
                <w:lang w:val="ro-RO"/>
              </w:rPr>
              <w:t xml:space="preserve"> </w:t>
            </w:r>
            <w:r>
              <w:rPr>
                <w:color w:val="auto"/>
                <w:sz w:val="16"/>
                <w:szCs w:val="16"/>
              </w:rPr>
              <w:t>de molid sau arțar.</w:t>
            </w:r>
          </w:p>
          <w:p w14:paraId="683A46C2">
            <w:pPr>
              <w:pStyle w:val="56"/>
              <w:widowControl w:val="0"/>
              <w:numPr>
                <w:ilvl w:val="0"/>
                <w:numId w:val="7"/>
              </w:numPr>
              <w:spacing w:before="120" w:after="120"/>
              <w:ind w:left="140" w:leftChars="0" w:hanging="142" w:firstLineChars="0"/>
              <w:rPr>
                <w:color w:val="auto"/>
                <w:sz w:val="16"/>
                <w:szCs w:val="16"/>
              </w:rPr>
            </w:pPr>
            <w:r>
              <w:rPr>
                <w:color w:val="000000"/>
                <w:sz w:val="16"/>
                <w:szCs w:val="16"/>
              </w:rPr>
              <w:t>Gât, bărbie și cordar: Confecționate din plastic</w:t>
            </w:r>
            <w:r>
              <w:rPr>
                <w:color w:val="auto"/>
                <w:sz w:val="16"/>
                <w:szCs w:val="16"/>
              </w:rPr>
              <w:t xml:space="preserve"> sau lemn</w:t>
            </w:r>
          </w:p>
          <w:p w14:paraId="1EB95F57">
            <w:pPr>
              <w:pStyle w:val="56"/>
              <w:widowControl w:val="0"/>
              <w:numPr>
                <w:ilvl w:val="0"/>
                <w:numId w:val="7"/>
              </w:numPr>
              <w:spacing w:before="120" w:after="120"/>
              <w:ind w:left="140" w:leftChars="0" w:hanging="142" w:firstLineChars="0"/>
              <w:rPr>
                <w:color w:val="000000"/>
                <w:sz w:val="16"/>
                <w:szCs w:val="16"/>
              </w:rPr>
            </w:pPr>
            <w:r>
              <w:rPr>
                <w:color w:val="auto"/>
                <w:sz w:val="16"/>
                <w:szCs w:val="16"/>
              </w:rPr>
              <w:t>Corzi: Setul include patru corzi metalice sau sintetice</w:t>
            </w:r>
          </w:p>
        </w:tc>
        <w:tc>
          <w:tcPr>
            <w:tcW w:w="1276" w:type="dxa"/>
            <w:shd w:val="clear" w:color="auto" w:fill="auto"/>
            <w:vAlign w:val="center"/>
          </w:tcPr>
          <w:p w14:paraId="488B3E6F">
            <w:pPr>
              <w:widowControl w:val="0"/>
              <w:spacing w:before="120" w:after="120"/>
              <w:jc w:val="center"/>
              <w:rPr>
                <w:color w:val="000000"/>
                <w:spacing w:val="-6"/>
                <w:sz w:val="16"/>
                <w:szCs w:val="16"/>
                <w:lang w:val="ro-RO"/>
              </w:rPr>
            </w:pPr>
            <w:r>
              <w:rPr>
                <w:color w:val="000000"/>
                <w:spacing w:val="-6"/>
                <w:sz w:val="16"/>
                <w:szCs w:val="16"/>
                <w:lang w:val="ro-RO"/>
              </w:rPr>
              <w:t>Nu este cazul</w:t>
            </w:r>
          </w:p>
        </w:tc>
        <w:tc>
          <w:tcPr>
            <w:tcW w:w="1292" w:type="dxa"/>
            <w:vAlign w:val="center"/>
          </w:tcPr>
          <w:p w14:paraId="20E6FA26">
            <w:pPr>
              <w:widowControl w:val="0"/>
              <w:spacing w:before="120" w:after="120"/>
              <w:jc w:val="center"/>
              <w:rPr>
                <w:color w:val="000000"/>
                <w:spacing w:val="-6"/>
                <w:sz w:val="16"/>
                <w:szCs w:val="16"/>
                <w:lang w:val="ro-RO"/>
              </w:rPr>
            </w:pPr>
            <w:r>
              <w:rPr>
                <w:color w:val="000000"/>
                <w:spacing w:val="-6"/>
                <w:sz w:val="16"/>
                <w:szCs w:val="16"/>
                <w:lang w:val="ro-RO"/>
              </w:rPr>
              <w:t>Minim 36 luni</w:t>
            </w:r>
          </w:p>
        </w:tc>
      </w:tr>
      <w:tr w14:paraId="44C3073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0FB5FF8D">
            <w:pPr>
              <w:widowControl w:val="0"/>
              <w:spacing w:before="120" w:after="120"/>
              <w:jc w:val="center"/>
              <w:rPr>
                <w:bCs/>
                <w:iCs/>
                <w:spacing w:val="-6"/>
                <w:sz w:val="16"/>
                <w:szCs w:val="16"/>
                <w:lang w:val="ro-RO"/>
              </w:rPr>
            </w:pPr>
            <w:r>
              <w:rPr>
                <w:color w:val="000000"/>
                <w:sz w:val="16"/>
                <w:szCs w:val="16"/>
                <w:lang w:val="ro-RO"/>
              </w:rPr>
              <w:t>Set vioară acustică 1/2</w:t>
            </w:r>
          </w:p>
        </w:tc>
        <w:tc>
          <w:tcPr>
            <w:tcW w:w="891" w:type="dxa"/>
            <w:vAlign w:val="center"/>
          </w:tcPr>
          <w:p w14:paraId="541990B9">
            <w:pPr>
              <w:widowControl w:val="0"/>
              <w:spacing w:before="120" w:after="120"/>
              <w:jc w:val="center"/>
              <w:rPr>
                <w:bCs/>
                <w:i/>
                <w:iCs/>
                <w:spacing w:val="-6"/>
                <w:sz w:val="16"/>
                <w:szCs w:val="16"/>
                <w:lang w:val="ro-RO"/>
              </w:rPr>
            </w:pPr>
            <w:r>
              <w:rPr>
                <w:b/>
                <w:bCs/>
                <w:color w:val="000000"/>
                <w:sz w:val="16"/>
                <w:szCs w:val="16"/>
                <w:lang w:val="ro-RO"/>
              </w:rPr>
              <w:t>2</w:t>
            </w:r>
          </w:p>
        </w:tc>
        <w:tc>
          <w:tcPr>
            <w:tcW w:w="795" w:type="dxa"/>
            <w:shd w:val="clear" w:color="auto" w:fill="auto"/>
            <w:vAlign w:val="center"/>
          </w:tcPr>
          <w:p w14:paraId="73D1F480">
            <w:pPr>
              <w:widowControl w:val="0"/>
              <w:spacing w:before="120" w:after="120"/>
              <w:jc w:val="center"/>
              <w:rPr>
                <w:color w:val="000000"/>
                <w:spacing w:val="-6"/>
                <w:sz w:val="16"/>
                <w:szCs w:val="16"/>
                <w:lang w:val="ro-RO"/>
              </w:rPr>
            </w:pPr>
            <w:r>
              <w:rPr>
                <w:color w:val="auto"/>
                <w:spacing w:val="-6"/>
                <w:sz w:val="16"/>
                <w:szCs w:val="16"/>
                <w:lang w:val="ro-RO"/>
              </w:rPr>
              <w:t>set</w:t>
            </w:r>
          </w:p>
        </w:tc>
        <w:tc>
          <w:tcPr>
            <w:tcW w:w="1417" w:type="dxa"/>
            <w:shd w:val="clear" w:color="auto" w:fill="auto"/>
            <w:vAlign w:val="center"/>
          </w:tcPr>
          <w:p w14:paraId="589DD6E6">
            <w:pPr>
              <w:widowControl w:val="0"/>
              <w:spacing w:before="120" w:after="120"/>
              <w:jc w:val="center"/>
              <w:rPr>
                <w:color w:val="000000"/>
                <w:spacing w:val="-6"/>
                <w:sz w:val="16"/>
                <w:szCs w:val="16"/>
                <w:lang w:val="ro-RO"/>
              </w:rPr>
            </w:pPr>
            <w:r>
              <w:rPr>
                <w:color w:val="000000"/>
                <w:spacing w:val="-6"/>
                <w:sz w:val="16"/>
                <w:szCs w:val="16"/>
                <w:lang w:val="ro-RO"/>
              </w:rPr>
              <w:t>Municipiul Slobozia, conform repartizării indicată de către Autoritatea Contractantă / specificată în Anexa 1</w:t>
            </w:r>
          </w:p>
        </w:tc>
        <w:tc>
          <w:tcPr>
            <w:tcW w:w="1134" w:type="dxa"/>
            <w:shd w:val="clear" w:color="auto" w:fill="auto"/>
            <w:vAlign w:val="center"/>
          </w:tcPr>
          <w:p w14:paraId="3A4A0DE5">
            <w:pPr>
              <w:widowControl w:val="0"/>
              <w:spacing w:before="120" w:after="120"/>
              <w:jc w:val="center"/>
              <w:rPr>
                <w:color w:val="000000"/>
                <w:spacing w:val="-6"/>
                <w:sz w:val="16"/>
                <w:szCs w:val="16"/>
                <w:lang w:val="ro-RO"/>
              </w:rPr>
            </w:pPr>
            <w:r>
              <w:rPr>
                <w:rFonts w:hint="default"/>
                <w:color w:val="auto"/>
                <w:sz w:val="16"/>
                <w:szCs w:val="16"/>
                <w:lang w:val="en-US"/>
              </w:rPr>
              <w:t>1</w:t>
            </w:r>
            <w:r>
              <w:rPr>
                <w:color w:val="auto"/>
                <w:sz w:val="16"/>
                <w:szCs w:val="16"/>
                <w:lang w:val="ro-RO"/>
              </w:rPr>
              <w:t>0 de zile de la data lansării comenzi</w:t>
            </w:r>
          </w:p>
        </w:tc>
        <w:tc>
          <w:tcPr>
            <w:tcW w:w="2835" w:type="dxa"/>
            <w:shd w:val="clear" w:color="auto" w:fill="auto"/>
            <w:vAlign w:val="center"/>
          </w:tcPr>
          <w:p w14:paraId="4603E9F3">
            <w:pPr>
              <w:pStyle w:val="56"/>
              <w:widowControl w:val="0"/>
              <w:numPr>
                <w:ilvl w:val="0"/>
                <w:numId w:val="7"/>
              </w:numPr>
              <w:spacing w:before="120" w:after="120"/>
              <w:ind w:left="140" w:leftChars="0" w:hanging="142" w:firstLineChars="0"/>
              <w:rPr>
                <w:color w:val="000000"/>
                <w:sz w:val="16"/>
                <w:szCs w:val="16"/>
              </w:rPr>
            </w:pPr>
            <w:r>
              <w:rPr>
                <w:color w:val="000000"/>
                <w:sz w:val="16"/>
                <w:szCs w:val="16"/>
              </w:rPr>
              <w:t>Mărime 1/2 (potrivită pentru copii cu vârsta între 5 și 8 ani sau cu o lungime a brațului de aproximativ 52-56 cm);</w:t>
            </w:r>
          </w:p>
          <w:p w14:paraId="1F32EE5D">
            <w:pPr>
              <w:pStyle w:val="56"/>
              <w:widowControl w:val="0"/>
              <w:numPr>
                <w:ilvl w:val="0"/>
                <w:numId w:val="7"/>
              </w:numPr>
              <w:spacing w:before="120" w:after="120"/>
              <w:ind w:left="140" w:leftChars="0" w:hanging="142" w:firstLineChars="0"/>
              <w:rPr>
                <w:color w:val="auto"/>
                <w:sz w:val="16"/>
                <w:szCs w:val="16"/>
              </w:rPr>
            </w:pPr>
            <w:r>
              <w:rPr>
                <w:color w:val="000000"/>
                <w:sz w:val="16"/>
                <w:szCs w:val="16"/>
              </w:rPr>
              <w:t>Setul i</w:t>
            </w:r>
            <w:r>
              <w:rPr>
                <w:color w:val="auto"/>
                <w:sz w:val="16"/>
                <w:szCs w:val="16"/>
              </w:rPr>
              <w:t>nclude: vioara, arcuș, toc rigid, sacâz</w:t>
            </w:r>
          </w:p>
          <w:p w14:paraId="77A3C9BD">
            <w:pPr>
              <w:pStyle w:val="56"/>
              <w:widowControl w:val="0"/>
              <w:numPr>
                <w:ilvl w:val="0"/>
                <w:numId w:val="7"/>
              </w:numPr>
              <w:spacing w:before="120" w:after="120"/>
              <w:ind w:left="140" w:leftChars="0" w:hanging="142" w:firstLineChars="0"/>
              <w:rPr>
                <w:color w:val="auto"/>
                <w:sz w:val="16"/>
                <w:szCs w:val="16"/>
              </w:rPr>
            </w:pPr>
            <w:r>
              <w:rPr>
                <w:color w:val="auto"/>
                <w:sz w:val="16"/>
                <w:szCs w:val="16"/>
              </w:rPr>
              <w:t xml:space="preserve">Corp: Realizat din lemn de molid sau arțar. </w:t>
            </w:r>
          </w:p>
          <w:p w14:paraId="158BAFC7">
            <w:pPr>
              <w:pStyle w:val="56"/>
              <w:widowControl w:val="0"/>
              <w:numPr>
                <w:ilvl w:val="0"/>
                <w:numId w:val="7"/>
              </w:numPr>
              <w:spacing w:before="120" w:after="120"/>
              <w:ind w:left="140" w:leftChars="0" w:hanging="142" w:firstLineChars="0"/>
              <w:rPr>
                <w:color w:val="auto"/>
                <w:sz w:val="16"/>
                <w:szCs w:val="16"/>
              </w:rPr>
            </w:pPr>
            <w:r>
              <w:rPr>
                <w:color w:val="auto"/>
                <w:sz w:val="16"/>
                <w:szCs w:val="16"/>
              </w:rPr>
              <w:t>Gât, bărbie și cordar: Confecționate din plastic sau lemn</w:t>
            </w:r>
          </w:p>
          <w:p w14:paraId="2AE32775">
            <w:pPr>
              <w:pStyle w:val="56"/>
              <w:widowControl w:val="0"/>
              <w:numPr>
                <w:ilvl w:val="0"/>
                <w:numId w:val="7"/>
              </w:numPr>
              <w:spacing w:before="120" w:after="120"/>
              <w:ind w:left="140" w:leftChars="0" w:hanging="142" w:firstLineChars="0"/>
              <w:rPr>
                <w:color w:val="000000"/>
                <w:sz w:val="16"/>
                <w:szCs w:val="16"/>
              </w:rPr>
            </w:pPr>
            <w:r>
              <w:rPr>
                <w:color w:val="auto"/>
                <w:sz w:val="16"/>
                <w:szCs w:val="16"/>
              </w:rPr>
              <w:t>Corzi: Setul include patru corzi metalice sau sintetice</w:t>
            </w:r>
          </w:p>
        </w:tc>
        <w:tc>
          <w:tcPr>
            <w:tcW w:w="1276" w:type="dxa"/>
            <w:shd w:val="clear" w:color="auto" w:fill="auto"/>
            <w:vAlign w:val="center"/>
          </w:tcPr>
          <w:p w14:paraId="676D75E3">
            <w:pPr>
              <w:widowControl w:val="0"/>
              <w:spacing w:before="120" w:after="120"/>
              <w:jc w:val="center"/>
              <w:rPr>
                <w:color w:val="000000"/>
                <w:spacing w:val="-6"/>
                <w:sz w:val="16"/>
                <w:szCs w:val="16"/>
                <w:lang w:val="ro-RO"/>
              </w:rPr>
            </w:pPr>
            <w:r>
              <w:rPr>
                <w:color w:val="000000"/>
                <w:spacing w:val="-6"/>
                <w:sz w:val="16"/>
                <w:szCs w:val="16"/>
                <w:lang w:val="ro-RO"/>
              </w:rPr>
              <w:t>Nu este cazul</w:t>
            </w:r>
          </w:p>
        </w:tc>
        <w:tc>
          <w:tcPr>
            <w:tcW w:w="1292" w:type="dxa"/>
            <w:vAlign w:val="center"/>
          </w:tcPr>
          <w:p w14:paraId="6D50831E">
            <w:pPr>
              <w:widowControl w:val="0"/>
              <w:spacing w:before="120" w:after="120"/>
              <w:jc w:val="center"/>
              <w:rPr>
                <w:color w:val="000000"/>
                <w:spacing w:val="-6"/>
                <w:sz w:val="16"/>
                <w:szCs w:val="16"/>
                <w:lang w:val="ro-RO"/>
              </w:rPr>
            </w:pPr>
            <w:r>
              <w:rPr>
                <w:color w:val="000000"/>
                <w:spacing w:val="-6"/>
                <w:sz w:val="16"/>
                <w:szCs w:val="16"/>
                <w:lang w:val="ro-RO"/>
              </w:rPr>
              <w:t>Minim 36 luni</w:t>
            </w:r>
          </w:p>
        </w:tc>
      </w:tr>
      <w:tr w14:paraId="778F5FE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08F7AEDB">
            <w:pPr>
              <w:widowControl w:val="0"/>
              <w:spacing w:before="120" w:after="120"/>
              <w:jc w:val="center"/>
              <w:rPr>
                <w:bCs/>
                <w:iCs/>
                <w:spacing w:val="-6"/>
                <w:sz w:val="16"/>
                <w:szCs w:val="16"/>
                <w:lang w:val="ro-RO"/>
              </w:rPr>
            </w:pPr>
            <w:r>
              <w:rPr>
                <w:color w:val="000000"/>
                <w:sz w:val="16"/>
                <w:szCs w:val="16"/>
                <w:lang w:val="ro-RO"/>
              </w:rPr>
              <w:t>Clarinet 17/6</w:t>
            </w:r>
          </w:p>
        </w:tc>
        <w:tc>
          <w:tcPr>
            <w:tcW w:w="891" w:type="dxa"/>
            <w:vAlign w:val="center"/>
          </w:tcPr>
          <w:p w14:paraId="20FBC90C">
            <w:pPr>
              <w:widowControl w:val="0"/>
              <w:spacing w:before="120" w:after="120"/>
              <w:jc w:val="center"/>
              <w:rPr>
                <w:bCs/>
                <w:i/>
                <w:iCs/>
                <w:spacing w:val="-6"/>
                <w:sz w:val="16"/>
                <w:szCs w:val="16"/>
                <w:lang w:val="ro-RO"/>
              </w:rPr>
            </w:pPr>
            <w:r>
              <w:rPr>
                <w:b/>
                <w:bCs/>
                <w:color w:val="000000"/>
                <w:sz w:val="16"/>
                <w:szCs w:val="16"/>
                <w:lang w:val="ro-RO"/>
              </w:rPr>
              <w:t>1</w:t>
            </w:r>
          </w:p>
        </w:tc>
        <w:tc>
          <w:tcPr>
            <w:tcW w:w="795" w:type="dxa"/>
            <w:shd w:val="clear" w:color="auto" w:fill="auto"/>
            <w:vAlign w:val="center"/>
          </w:tcPr>
          <w:p w14:paraId="765CA1C1">
            <w:pPr>
              <w:widowControl w:val="0"/>
              <w:spacing w:before="120" w:after="120"/>
              <w:jc w:val="center"/>
              <w:rPr>
                <w:color w:val="000000"/>
                <w:spacing w:val="-6"/>
                <w:sz w:val="16"/>
                <w:szCs w:val="16"/>
                <w:lang w:val="ro-RO"/>
              </w:rPr>
            </w:pPr>
            <w:r>
              <w:rPr>
                <w:color w:val="000000"/>
                <w:spacing w:val="-6"/>
                <w:sz w:val="16"/>
                <w:szCs w:val="16"/>
                <w:lang w:val="ro-RO"/>
              </w:rPr>
              <w:t>bucată</w:t>
            </w:r>
          </w:p>
        </w:tc>
        <w:tc>
          <w:tcPr>
            <w:tcW w:w="1417" w:type="dxa"/>
            <w:shd w:val="clear" w:color="auto" w:fill="auto"/>
            <w:vAlign w:val="center"/>
          </w:tcPr>
          <w:p w14:paraId="5AB6657E">
            <w:pPr>
              <w:widowControl w:val="0"/>
              <w:spacing w:before="120" w:after="120"/>
              <w:jc w:val="center"/>
              <w:rPr>
                <w:color w:val="000000"/>
                <w:spacing w:val="-6"/>
                <w:sz w:val="16"/>
                <w:szCs w:val="16"/>
                <w:lang w:val="ro-RO"/>
              </w:rPr>
            </w:pPr>
            <w:r>
              <w:rPr>
                <w:color w:val="000000"/>
                <w:spacing w:val="-6"/>
                <w:sz w:val="16"/>
                <w:szCs w:val="16"/>
                <w:lang w:val="ro-RO"/>
              </w:rPr>
              <w:t>Municipiul Slobozia, conform repartizării indicată de către Autoritatea Contractantă / specificată în Anexa 1</w:t>
            </w:r>
          </w:p>
        </w:tc>
        <w:tc>
          <w:tcPr>
            <w:tcW w:w="1134" w:type="dxa"/>
            <w:shd w:val="clear" w:color="auto" w:fill="auto"/>
            <w:vAlign w:val="center"/>
          </w:tcPr>
          <w:p w14:paraId="226080B2">
            <w:pPr>
              <w:widowControl w:val="0"/>
              <w:spacing w:before="120" w:after="120"/>
              <w:jc w:val="center"/>
              <w:rPr>
                <w:color w:val="000000"/>
                <w:spacing w:val="-6"/>
                <w:sz w:val="16"/>
                <w:szCs w:val="16"/>
                <w:lang w:val="ro-RO"/>
              </w:rPr>
            </w:pPr>
            <w:r>
              <w:rPr>
                <w:rFonts w:hint="default"/>
                <w:color w:val="auto"/>
                <w:sz w:val="16"/>
                <w:szCs w:val="16"/>
                <w:lang w:val="en-US"/>
              </w:rPr>
              <w:t>1</w:t>
            </w:r>
            <w:r>
              <w:rPr>
                <w:color w:val="auto"/>
                <w:sz w:val="16"/>
                <w:szCs w:val="16"/>
                <w:lang w:val="ro-RO"/>
              </w:rPr>
              <w:t>0 de zile de la data lansării comenzi</w:t>
            </w:r>
          </w:p>
        </w:tc>
        <w:tc>
          <w:tcPr>
            <w:tcW w:w="2835" w:type="dxa"/>
            <w:shd w:val="clear" w:color="auto" w:fill="auto"/>
          </w:tcPr>
          <w:p w14:paraId="6B35F20C">
            <w:pPr>
              <w:pStyle w:val="56"/>
              <w:widowControl w:val="0"/>
              <w:numPr>
                <w:ilvl w:val="0"/>
                <w:numId w:val="7"/>
              </w:numPr>
              <w:spacing w:before="120" w:after="120"/>
              <w:ind w:left="140" w:leftChars="0" w:hanging="142" w:firstLineChars="0"/>
              <w:rPr>
                <w:color w:val="000000"/>
                <w:sz w:val="16"/>
                <w:szCs w:val="16"/>
              </w:rPr>
            </w:pPr>
            <w:r>
              <w:rPr>
                <w:color w:val="000000"/>
                <w:sz w:val="16"/>
                <w:szCs w:val="16"/>
              </w:rPr>
              <w:t>Clarinet cu 17 clape și 6 inele, conform sistemului Boehm;</w:t>
            </w:r>
          </w:p>
          <w:p w14:paraId="0F9397D8">
            <w:pPr>
              <w:pStyle w:val="56"/>
              <w:widowControl w:val="0"/>
              <w:numPr>
                <w:ilvl w:val="0"/>
                <w:numId w:val="7"/>
              </w:numPr>
              <w:spacing w:before="120" w:after="120"/>
              <w:ind w:left="140" w:leftChars="0" w:hanging="142" w:firstLineChars="0"/>
              <w:rPr>
                <w:color w:val="auto"/>
                <w:sz w:val="16"/>
                <w:szCs w:val="16"/>
              </w:rPr>
            </w:pPr>
            <w:r>
              <w:rPr>
                <w:color w:val="000000"/>
                <w:sz w:val="16"/>
                <w:szCs w:val="16"/>
              </w:rPr>
              <w:t xml:space="preserve">Corp: </w:t>
            </w:r>
            <w:r>
              <w:rPr>
                <w:color w:val="FF0000"/>
                <w:sz w:val="16"/>
                <w:szCs w:val="16"/>
              </w:rPr>
              <w:t xml:space="preserve"> </w:t>
            </w:r>
            <w:r>
              <w:rPr>
                <w:color w:val="auto"/>
                <w:sz w:val="16"/>
                <w:szCs w:val="16"/>
              </w:rPr>
              <w:t>lemn sau alamă</w:t>
            </w:r>
          </w:p>
          <w:p w14:paraId="2C34F916">
            <w:pPr>
              <w:pStyle w:val="56"/>
              <w:widowControl w:val="0"/>
              <w:numPr>
                <w:ilvl w:val="0"/>
                <w:numId w:val="7"/>
              </w:numPr>
              <w:spacing w:before="120" w:after="120"/>
              <w:ind w:left="140" w:leftChars="0" w:hanging="142" w:firstLineChars="0"/>
              <w:rPr>
                <w:color w:val="000000"/>
                <w:sz w:val="16"/>
                <w:szCs w:val="16"/>
              </w:rPr>
            </w:pPr>
            <w:r>
              <w:rPr>
                <w:color w:val="000000"/>
                <w:sz w:val="16"/>
                <w:szCs w:val="16"/>
              </w:rPr>
              <w:t>Clape: confecționate din cupronichel placat cu nichel;</w:t>
            </w:r>
          </w:p>
          <w:p w14:paraId="07447CA4">
            <w:pPr>
              <w:pStyle w:val="56"/>
              <w:widowControl w:val="0"/>
              <w:numPr>
                <w:ilvl w:val="0"/>
                <w:numId w:val="7"/>
              </w:numPr>
              <w:spacing w:before="120" w:after="120"/>
              <w:ind w:left="140" w:leftChars="0" w:hanging="142" w:firstLineChars="0"/>
              <w:rPr>
                <w:color w:val="000000"/>
                <w:sz w:val="16"/>
                <w:szCs w:val="16"/>
              </w:rPr>
            </w:pPr>
            <w:r>
              <w:rPr>
                <w:color w:val="000000"/>
                <w:sz w:val="16"/>
                <w:szCs w:val="16"/>
              </w:rPr>
              <w:t>Dimensiuni aproximative: 40,5 cm x 24,5 cm x 12,5 cm (+/ - 10%)</w:t>
            </w:r>
          </w:p>
          <w:p w14:paraId="696E432B">
            <w:pPr>
              <w:pStyle w:val="56"/>
              <w:widowControl w:val="0"/>
              <w:numPr>
                <w:ilvl w:val="0"/>
                <w:numId w:val="7"/>
              </w:numPr>
              <w:spacing w:before="120" w:after="120"/>
              <w:ind w:left="140" w:leftChars="0" w:hanging="142" w:firstLineChars="0"/>
              <w:rPr>
                <w:color w:val="000000"/>
                <w:sz w:val="16"/>
                <w:szCs w:val="16"/>
              </w:rPr>
            </w:pPr>
            <w:r>
              <w:rPr>
                <w:color w:val="000000"/>
                <w:sz w:val="16"/>
                <w:szCs w:val="16"/>
              </w:rPr>
              <w:t>Accesorii incluse: cutie căptușită, accesorii pentru curățare, butoiaș de rezervă</w:t>
            </w:r>
          </w:p>
        </w:tc>
        <w:tc>
          <w:tcPr>
            <w:tcW w:w="1276" w:type="dxa"/>
            <w:shd w:val="clear" w:color="auto" w:fill="auto"/>
            <w:vAlign w:val="center"/>
          </w:tcPr>
          <w:p w14:paraId="4613AD2D">
            <w:pPr>
              <w:widowControl w:val="0"/>
              <w:spacing w:before="120" w:after="120"/>
              <w:jc w:val="center"/>
              <w:rPr>
                <w:color w:val="000000"/>
                <w:spacing w:val="-6"/>
                <w:sz w:val="16"/>
                <w:szCs w:val="16"/>
                <w:lang w:val="ro-RO"/>
              </w:rPr>
            </w:pPr>
            <w:r>
              <w:rPr>
                <w:color w:val="000000"/>
                <w:spacing w:val="-6"/>
                <w:sz w:val="16"/>
                <w:szCs w:val="16"/>
                <w:lang w:val="ro-RO"/>
              </w:rPr>
              <w:t>Nu este cazul</w:t>
            </w:r>
          </w:p>
        </w:tc>
        <w:tc>
          <w:tcPr>
            <w:tcW w:w="1292" w:type="dxa"/>
            <w:vAlign w:val="center"/>
          </w:tcPr>
          <w:p w14:paraId="7BE7680B">
            <w:pPr>
              <w:widowControl w:val="0"/>
              <w:spacing w:before="120" w:after="120"/>
              <w:jc w:val="center"/>
              <w:rPr>
                <w:color w:val="000000"/>
                <w:spacing w:val="-6"/>
                <w:sz w:val="16"/>
                <w:szCs w:val="16"/>
                <w:lang w:val="ro-RO"/>
              </w:rPr>
            </w:pPr>
            <w:r>
              <w:rPr>
                <w:color w:val="000000"/>
                <w:spacing w:val="-6"/>
                <w:sz w:val="16"/>
                <w:szCs w:val="16"/>
                <w:lang w:val="ro-RO"/>
              </w:rPr>
              <w:t>Minim 36 luni</w:t>
            </w:r>
          </w:p>
        </w:tc>
      </w:tr>
      <w:tr w14:paraId="416A484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525E64E6">
            <w:pPr>
              <w:widowControl w:val="0"/>
              <w:spacing w:before="120" w:after="120"/>
              <w:jc w:val="center"/>
              <w:rPr>
                <w:bCs/>
                <w:iCs/>
                <w:spacing w:val="-6"/>
                <w:sz w:val="16"/>
                <w:szCs w:val="16"/>
                <w:lang w:val="ro-RO"/>
              </w:rPr>
            </w:pPr>
            <w:r>
              <w:rPr>
                <w:color w:val="000000"/>
                <w:sz w:val="16"/>
                <w:szCs w:val="16"/>
                <w:lang w:val="ro-RO"/>
              </w:rPr>
              <w:t>Flaut</w:t>
            </w:r>
          </w:p>
        </w:tc>
        <w:tc>
          <w:tcPr>
            <w:tcW w:w="891" w:type="dxa"/>
            <w:vAlign w:val="center"/>
          </w:tcPr>
          <w:p w14:paraId="0A51B8E1">
            <w:pPr>
              <w:widowControl w:val="0"/>
              <w:spacing w:before="120" w:after="120"/>
              <w:jc w:val="center"/>
              <w:rPr>
                <w:bCs/>
                <w:i/>
                <w:iCs/>
                <w:spacing w:val="-6"/>
                <w:sz w:val="16"/>
                <w:szCs w:val="16"/>
                <w:lang w:val="ro-RO"/>
              </w:rPr>
            </w:pPr>
            <w:r>
              <w:rPr>
                <w:b/>
                <w:bCs/>
                <w:color w:val="000000"/>
                <w:sz w:val="16"/>
                <w:szCs w:val="16"/>
                <w:lang w:val="ro-RO"/>
              </w:rPr>
              <w:t>1</w:t>
            </w:r>
          </w:p>
        </w:tc>
        <w:tc>
          <w:tcPr>
            <w:tcW w:w="795" w:type="dxa"/>
            <w:shd w:val="clear" w:color="auto" w:fill="auto"/>
            <w:vAlign w:val="center"/>
          </w:tcPr>
          <w:p w14:paraId="7C2E43BC">
            <w:pPr>
              <w:widowControl w:val="0"/>
              <w:spacing w:before="120" w:after="120"/>
              <w:jc w:val="center"/>
              <w:rPr>
                <w:color w:val="000000"/>
                <w:spacing w:val="-6"/>
                <w:sz w:val="16"/>
                <w:szCs w:val="16"/>
                <w:lang w:val="ro-RO"/>
              </w:rPr>
            </w:pPr>
            <w:r>
              <w:rPr>
                <w:color w:val="000000"/>
                <w:spacing w:val="-6"/>
                <w:sz w:val="16"/>
                <w:szCs w:val="16"/>
                <w:lang w:val="ro-RO"/>
              </w:rPr>
              <w:t>bucată</w:t>
            </w:r>
          </w:p>
        </w:tc>
        <w:tc>
          <w:tcPr>
            <w:tcW w:w="1417" w:type="dxa"/>
            <w:shd w:val="clear" w:color="auto" w:fill="auto"/>
            <w:vAlign w:val="center"/>
          </w:tcPr>
          <w:p w14:paraId="15E985C0">
            <w:pPr>
              <w:widowControl w:val="0"/>
              <w:spacing w:before="120" w:after="120"/>
              <w:jc w:val="center"/>
              <w:rPr>
                <w:color w:val="000000"/>
                <w:spacing w:val="-6"/>
                <w:sz w:val="16"/>
                <w:szCs w:val="16"/>
                <w:lang w:val="ro-RO"/>
              </w:rPr>
            </w:pPr>
            <w:r>
              <w:rPr>
                <w:color w:val="000000"/>
                <w:spacing w:val="-6"/>
                <w:sz w:val="16"/>
                <w:szCs w:val="16"/>
                <w:lang w:val="ro-RO"/>
              </w:rPr>
              <w:t>Municipiul Slobozia, conform repartizării indicată de către Autoritatea Contractantă / specificată în Anexa 1</w:t>
            </w:r>
          </w:p>
        </w:tc>
        <w:tc>
          <w:tcPr>
            <w:tcW w:w="1134" w:type="dxa"/>
            <w:shd w:val="clear" w:color="auto" w:fill="auto"/>
            <w:vAlign w:val="center"/>
          </w:tcPr>
          <w:p w14:paraId="3ABCD35E">
            <w:pPr>
              <w:widowControl w:val="0"/>
              <w:spacing w:before="120" w:after="120"/>
              <w:jc w:val="center"/>
              <w:rPr>
                <w:color w:val="000000"/>
                <w:spacing w:val="-6"/>
                <w:sz w:val="16"/>
                <w:szCs w:val="16"/>
                <w:lang w:val="ro-RO"/>
              </w:rPr>
            </w:pPr>
            <w:r>
              <w:rPr>
                <w:rFonts w:hint="default"/>
                <w:color w:val="auto"/>
                <w:sz w:val="16"/>
                <w:szCs w:val="16"/>
                <w:lang w:val="en-US"/>
              </w:rPr>
              <w:t>1</w:t>
            </w:r>
            <w:r>
              <w:rPr>
                <w:color w:val="auto"/>
                <w:sz w:val="16"/>
                <w:szCs w:val="16"/>
                <w:lang w:val="ro-RO"/>
              </w:rPr>
              <w:t>0 de zile de la data lansării comenzi</w:t>
            </w:r>
          </w:p>
        </w:tc>
        <w:tc>
          <w:tcPr>
            <w:tcW w:w="2835" w:type="dxa"/>
            <w:shd w:val="clear" w:color="auto" w:fill="auto"/>
          </w:tcPr>
          <w:p w14:paraId="790594F6">
            <w:pPr>
              <w:pStyle w:val="56"/>
              <w:widowControl w:val="0"/>
              <w:numPr>
                <w:ilvl w:val="0"/>
                <w:numId w:val="7"/>
              </w:numPr>
              <w:spacing w:before="120" w:after="120"/>
              <w:ind w:left="140" w:leftChars="0" w:hanging="142" w:firstLineChars="0"/>
              <w:rPr>
                <w:color w:val="000000"/>
                <w:sz w:val="16"/>
                <w:szCs w:val="16"/>
              </w:rPr>
            </w:pPr>
            <w:r>
              <w:rPr>
                <w:color w:val="000000"/>
                <w:sz w:val="16"/>
                <w:szCs w:val="16"/>
              </w:rPr>
              <w:t>Dimensiuni: minim 60 cm lungime, minim 1,8 cm diametrul tubului;</w:t>
            </w:r>
          </w:p>
          <w:p w14:paraId="66309D12">
            <w:pPr>
              <w:pStyle w:val="56"/>
              <w:widowControl w:val="0"/>
              <w:numPr>
                <w:ilvl w:val="0"/>
                <w:numId w:val="7"/>
              </w:numPr>
              <w:spacing w:before="120" w:after="120"/>
              <w:ind w:left="140" w:leftChars="0" w:hanging="142" w:firstLineChars="0"/>
              <w:rPr>
                <w:color w:val="000000"/>
                <w:sz w:val="16"/>
                <w:szCs w:val="16"/>
              </w:rPr>
            </w:pPr>
            <w:r>
              <w:rPr>
                <w:color w:val="000000"/>
                <w:sz w:val="16"/>
                <w:szCs w:val="16"/>
              </w:rPr>
              <w:t>Corp și cap realizate din aliaj de nichel-argint (maillechort) placat cu argint;</w:t>
            </w:r>
          </w:p>
          <w:p w14:paraId="7206B78B">
            <w:pPr>
              <w:pStyle w:val="56"/>
              <w:widowControl w:val="0"/>
              <w:numPr>
                <w:ilvl w:val="0"/>
                <w:numId w:val="7"/>
              </w:numPr>
              <w:spacing w:before="120" w:after="120"/>
              <w:ind w:left="140" w:leftChars="0" w:hanging="142" w:firstLineChars="0"/>
              <w:rPr>
                <w:color w:val="000000"/>
                <w:sz w:val="16"/>
                <w:szCs w:val="16"/>
              </w:rPr>
            </w:pPr>
            <w:r>
              <w:rPr>
                <w:color w:val="000000"/>
                <w:sz w:val="16"/>
                <w:szCs w:val="16"/>
              </w:rPr>
              <w:t>Clape placate cu argint;</w:t>
            </w:r>
          </w:p>
          <w:p w14:paraId="06BC40F1">
            <w:pPr>
              <w:pStyle w:val="56"/>
              <w:widowControl w:val="0"/>
              <w:numPr>
                <w:ilvl w:val="0"/>
                <w:numId w:val="7"/>
              </w:numPr>
              <w:spacing w:before="120" w:after="120"/>
              <w:ind w:left="140" w:leftChars="0" w:hanging="142" w:firstLineChars="0"/>
              <w:rPr>
                <w:color w:val="000000"/>
                <w:sz w:val="16"/>
                <w:szCs w:val="16"/>
              </w:rPr>
            </w:pPr>
            <w:r>
              <w:rPr>
                <w:color w:val="000000"/>
                <w:sz w:val="16"/>
                <w:szCs w:val="16"/>
              </w:rPr>
              <w:t>Sistem de clape: Offset G (clapa Sol decalată);</w:t>
            </w:r>
          </w:p>
          <w:p w14:paraId="7F141153">
            <w:pPr>
              <w:pStyle w:val="56"/>
              <w:widowControl w:val="0"/>
              <w:numPr>
                <w:ilvl w:val="0"/>
                <w:numId w:val="7"/>
              </w:numPr>
              <w:spacing w:before="120" w:after="120"/>
              <w:ind w:left="140" w:leftChars="0" w:hanging="142" w:firstLineChars="0"/>
              <w:rPr>
                <w:color w:val="000000"/>
                <w:sz w:val="16"/>
                <w:szCs w:val="16"/>
              </w:rPr>
            </w:pPr>
            <w:r>
              <w:rPr>
                <w:color w:val="000000"/>
                <w:sz w:val="16"/>
                <w:szCs w:val="16"/>
              </w:rPr>
              <w:t>E-mechanism: include un mecanism Mi suplimentar;</w:t>
            </w:r>
          </w:p>
          <w:p w14:paraId="3FE98AB3">
            <w:pPr>
              <w:pStyle w:val="56"/>
              <w:widowControl w:val="0"/>
              <w:numPr>
                <w:ilvl w:val="0"/>
                <w:numId w:val="7"/>
              </w:numPr>
              <w:spacing w:before="120" w:after="120"/>
              <w:ind w:left="140" w:leftChars="0" w:hanging="142" w:firstLineChars="0"/>
              <w:rPr>
                <w:color w:val="000000"/>
                <w:sz w:val="16"/>
                <w:szCs w:val="16"/>
              </w:rPr>
            </w:pPr>
            <w:r>
              <w:rPr>
                <w:color w:val="000000"/>
                <w:sz w:val="16"/>
                <w:szCs w:val="16"/>
              </w:rPr>
              <w:t>Tip de cap: Cap CY, proiectat pentru a oferi un răspuns rapid și un control ușor al tonului;</w:t>
            </w:r>
          </w:p>
          <w:p w14:paraId="7D7ABE14">
            <w:pPr>
              <w:pStyle w:val="56"/>
              <w:widowControl w:val="0"/>
              <w:numPr>
                <w:ilvl w:val="0"/>
                <w:numId w:val="7"/>
              </w:numPr>
              <w:spacing w:before="120" w:after="120"/>
              <w:ind w:left="140" w:leftChars="0" w:hanging="142" w:firstLineChars="0"/>
              <w:rPr>
                <w:color w:val="000000"/>
                <w:sz w:val="16"/>
                <w:szCs w:val="16"/>
              </w:rPr>
            </w:pPr>
            <w:r>
              <w:rPr>
                <w:color w:val="000000"/>
                <w:sz w:val="16"/>
                <w:szCs w:val="16"/>
              </w:rPr>
              <w:t>Accesorii incluse: etui rigid, husă de transport, set de curățare</w:t>
            </w:r>
          </w:p>
        </w:tc>
        <w:tc>
          <w:tcPr>
            <w:tcW w:w="1276" w:type="dxa"/>
            <w:shd w:val="clear" w:color="auto" w:fill="auto"/>
            <w:vAlign w:val="center"/>
          </w:tcPr>
          <w:p w14:paraId="68DB094A">
            <w:pPr>
              <w:widowControl w:val="0"/>
              <w:spacing w:before="120" w:after="120"/>
              <w:jc w:val="center"/>
              <w:rPr>
                <w:color w:val="000000"/>
                <w:spacing w:val="-6"/>
                <w:sz w:val="16"/>
                <w:szCs w:val="16"/>
                <w:lang w:val="ro-RO"/>
              </w:rPr>
            </w:pPr>
            <w:r>
              <w:rPr>
                <w:color w:val="000000"/>
                <w:spacing w:val="-6"/>
                <w:sz w:val="16"/>
                <w:szCs w:val="16"/>
                <w:lang w:val="ro-RO"/>
              </w:rPr>
              <w:t>Nu este cazul</w:t>
            </w:r>
          </w:p>
        </w:tc>
        <w:tc>
          <w:tcPr>
            <w:tcW w:w="1292" w:type="dxa"/>
            <w:vAlign w:val="center"/>
          </w:tcPr>
          <w:p w14:paraId="360037D2">
            <w:pPr>
              <w:widowControl w:val="0"/>
              <w:spacing w:before="120" w:after="120"/>
              <w:jc w:val="center"/>
              <w:rPr>
                <w:color w:val="000000"/>
                <w:spacing w:val="-6"/>
                <w:sz w:val="16"/>
                <w:szCs w:val="16"/>
                <w:lang w:val="ro-RO"/>
              </w:rPr>
            </w:pPr>
            <w:r>
              <w:rPr>
                <w:color w:val="000000"/>
                <w:spacing w:val="-6"/>
                <w:sz w:val="16"/>
                <w:szCs w:val="16"/>
                <w:lang w:val="ro-RO"/>
              </w:rPr>
              <w:t>Minim 36 luni</w:t>
            </w:r>
          </w:p>
        </w:tc>
      </w:tr>
      <w:tr w14:paraId="48E6594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2562E511">
            <w:pPr>
              <w:widowControl w:val="0"/>
              <w:spacing w:before="120" w:after="120"/>
              <w:jc w:val="center"/>
              <w:rPr>
                <w:bCs/>
                <w:iCs/>
                <w:spacing w:val="-6"/>
                <w:sz w:val="16"/>
                <w:szCs w:val="16"/>
                <w:lang w:val="ro-RO"/>
              </w:rPr>
            </w:pPr>
            <w:r>
              <w:rPr>
                <w:color w:val="000000"/>
                <w:sz w:val="16"/>
                <w:szCs w:val="16"/>
                <w:lang w:val="ro-RO"/>
              </w:rPr>
              <w:t>Blockflote</w:t>
            </w:r>
          </w:p>
        </w:tc>
        <w:tc>
          <w:tcPr>
            <w:tcW w:w="891" w:type="dxa"/>
            <w:vAlign w:val="center"/>
          </w:tcPr>
          <w:p w14:paraId="5DFA95E4">
            <w:pPr>
              <w:widowControl w:val="0"/>
              <w:spacing w:before="120" w:after="120"/>
              <w:jc w:val="center"/>
              <w:rPr>
                <w:bCs/>
                <w:i/>
                <w:iCs/>
                <w:color w:val="auto"/>
                <w:spacing w:val="-6"/>
                <w:sz w:val="16"/>
                <w:szCs w:val="16"/>
                <w:lang w:val="ro-RO"/>
              </w:rPr>
            </w:pPr>
            <w:r>
              <w:rPr>
                <w:b/>
                <w:bCs/>
                <w:color w:val="auto"/>
                <w:sz w:val="16"/>
                <w:szCs w:val="16"/>
                <w:lang w:val="ro-RO"/>
              </w:rPr>
              <w:t>5</w:t>
            </w:r>
          </w:p>
        </w:tc>
        <w:tc>
          <w:tcPr>
            <w:tcW w:w="795" w:type="dxa"/>
            <w:shd w:val="clear" w:color="auto" w:fill="auto"/>
            <w:vAlign w:val="center"/>
          </w:tcPr>
          <w:p w14:paraId="71552810">
            <w:pPr>
              <w:widowControl w:val="0"/>
              <w:spacing w:before="120" w:after="120"/>
              <w:jc w:val="center"/>
              <w:rPr>
                <w:color w:val="auto"/>
                <w:spacing w:val="-6"/>
                <w:sz w:val="16"/>
                <w:szCs w:val="16"/>
                <w:lang w:val="ro-RO"/>
              </w:rPr>
            </w:pPr>
            <w:r>
              <w:rPr>
                <w:color w:val="auto"/>
                <w:spacing w:val="-6"/>
                <w:sz w:val="16"/>
                <w:szCs w:val="16"/>
                <w:lang w:val="ro-RO"/>
              </w:rPr>
              <w:t>bucată</w:t>
            </w:r>
          </w:p>
        </w:tc>
        <w:tc>
          <w:tcPr>
            <w:tcW w:w="1417" w:type="dxa"/>
            <w:shd w:val="clear" w:color="auto" w:fill="auto"/>
            <w:vAlign w:val="center"/>
          </w:tcPr>
          <w:p w14:paraId="6AEEDEA7">
            <w:pPr>
              <w:widowControl w:val="0"/>
              <w:spacing w:before="120" w:after="120"/>
              <w:jc w:val="center"/>
              <w:rPr>
                <w:color w:val="auto"/>
                <w:spacing w:val="-6"/>
                <w:sz w:val="16"/>
                <w:szCs w:val="16"/>
                <w:lang w:val="ro-RO"/>
              </w:rPr>
            </w:pPr>
            <w:r>
              <w:rPr>
                <w:color w:val="auto"/>
                <w:spacing w:val="-6"/>
                <w:sz w:val="16"/>
                <w:szCs w:val="16"/>
                <w:lang w:val="ro-RO"/>
              </w:rPr>
              <w:t>Municipiul Slobozia, conform repartizării indicată de către Autoritatea Contractantă / specificată în Anexa 1</w:t>
            </w:r>
          </w:p>
        </w:tc>
        <w:tc>
          <w:tcPr>
            <w:tcW w:w="1134" w:type="dxa"/>
            <w:shd w:val="clear" w:color="auto" w:fill="auto"/>
            <w:vAlign w:val="center"/>
          </w:tcPr>
          <w:p w14:paraId="68E09BC9">
            <w:pPr>
              <w:widowControl w:val="0"/>
              <w:spacing w:before="120" w:after="120"/>
              <w:jc w:val="center"/>
              <w:rPr>
                <w:color w:val="auto"/>
                <w:spacing w:val="-6"/>
                <w:sz w:val="16"/>
                <w:szCs w:val="16"/>
                <w:lang w:val="ro-RO"/>
              </w:rPr>
            </w:pPr>
            <w:r>
              <w:rPr>
                <w:rFonts w:hint="default"/>
                <w:color w:val="auto"/>
                <w:sz w:val="16"/>
                <w:szCs w:val="16"/>
                <w:lang w:val="en-US"/>
              </w:rPr>
              <w:t>1</w:t>
            </w:r>
            <w:r>
              <w:rPr>
                <w:color w:val="auto"/>
                <w:sz w:val="16"/>
                <w:szCs w:val="16"/>
                <w:lang w:val="ro-RO"/>
              </w:rPr>
              <w:t>0 de zile de la data lansării comenzi</w:t>
            </w:r>
          </w:p>
        </w:tc>
        <w:tc>
          <w:tcPr>
            <w:tcW w:w="2835" w:type="dxa"/>
            <w:shd w:val="clear" w:color="auto" w:fill="auto"/>
          </w:tcPr>
          <w:p w14:paraId="0BC55640">
            <w:pPr>
              <w:pStyle w:val="56"/>
              <w:widowControl w:val="0"/>
              <w:numPr>
                <w:ilvl w:val="0"/>
                <w:numId w:val="7"/>
              </w:numPr>
              <w:spacing w:before="120" w:after="120"/>
              <w:ind w:left="140" w:leftChars="0" w:hanging="142" w:firstLineChars="0"/>
              <w:rPr>
                <w:color w:val="auto"/>
                <w:sz w:val="16"/>
                <w:szCs w:val="16"/>
              </w:rPr>
            </w:pPr>
            <w:r>
              <w:rPr>
                <w:color w:val="auto"/>
                <w:sz w:val="16"/>
                <w:szCs w:val="16"/>
              </w:rPr>
              <w:t>Se vor cota 3 bucăți dimensiune soprano (lungime 32 – 35 cm) și 2 bucăți dimensiune alto (45 – 50 cm);</w:t>
            </w:r>
          </w:p>
          <w:p w14:paraId="2C8A7BC4">
            <w:pPr>
              <w:pStyle w:val="56"/>
              <w:widowControl w:val="0"/>
              <w:numPr>
                <w:ilvl w:val="0"/>
                <w:numId w:val="7"/>
              </w:numPr>
              <w:spacing w:before="120" w:after="120"/>
              <w:ind w:left="140" w:leftChars="0" w:hanging="142" w:firstLineChars="0"/>
              <w:rPr>
                <w:color w:val="auto"/>
                <w:sz w:val="16"/>
                <w:szCs w:val="16"/>
              </w:rPr>
            </w:pPr>
            <w:r>
              <w:rPr>
                <w:color w:val="auto"/>
                <w:sz w:val="16"/>
                <w:szCs w:val="16"/>
              </w:rPr>
              <w:t>Diametru: 2,5 – 3 cm</w:t>
            </w:r>
          </w:p>
          <w:p w14:paraId="57BACF9D">
            <w:pPr>
              <w:pStyle w:val="56"/>
              <w:widowControl w:val="0"/>
              <w:numPr>
                <w:ilvl w:val="0"/>
                <w:numId w:val="7"/>
              </w:numPr>
              <w:spacing w:before="120" w:after="120"/>
              <w:ind w:left="140" w:leftChars="0" w:hanging="142" w:firstLineChars="0"/>
              <w:rPr>
                <w:color w:val="auto"/>
                <w:sz w:val="16"/>
                <w:szCs w:val="16"/>
              </w:rPr>
            </w:pPr>
            <w:r>
              <w:rPr>
                <w:color w:val="auto"/>
                <w:sz w:val="16"/>
                <w:szCs w:val="16"/>
              </w:rPr>
              <w:t>Material: lemn</w:t>
            </w:r>
          </w:p>
          <w:p w14:paraId="34BBA9D4">
            <w:pPr>
              <w:pStyle w:val="56"/>
              <w:widowControl w:val="0"/>
              <w:numPr>
                <w:ilvl w:val="0"/>
                <w:numId w:val="7"/>
              </w:numPr>
              <w:spacing w:before="120" w:after="120"/>
              <w:ind w:left="140" w:leftChars="0" w:hanging="142" w:firstLineChars="0"/>
              <w:rPr>
                <w:color w:val="auto"/>
                <w:sz w:val="16"/>
                <w:szCs w:val="16"/>
              </w:rPr>
            </w:pPr>
            <w:r>
              <w:rPr>
                <w:color w:val="auto"/>
                <w:sz w:val="16"/>
                <w:szCs w:val="16"/>
              </w:rPr>
              <w:t>Sistem de acordaj: German</w:t>
            </w:r>
          </w:p>
          <w:p w14:paraId="1E6F0428">
            <w:pPr>
              <w:pStyle w:val="56"/>
              <w:widowControl w:val="0"/>
              <w:numPr>
                <w:ilvl w:val="0"/>
                <w:numId w:val="7"/>
              </w:numPr>
              <w:spacing w:before="120" w:after="120"/>
              <w:ind w:left="140" w:leftChars="0" w:hanging="142" w:firstLineChars="0"/>
              <w:rPr>
                <w:color w:val="auto"/>
                <w:sz w:val="16"/>
                <w:szCs w:val="16"/>
              </w:rPr>
            </w:pPr>
            <w:r>
              <w:rPr>
                <w:color w:val="auto"/>
                <w:sz w:val="16"/>
                <w:szCs w:val="16"/>
              </w:rPr>
              <w:t>Număr de piese: 3 (cap, corp, picior)</w:t>
            </w:r>
          </w:p>
          <w:p w14:paraId="23FF39B7">
            <w:pPr>
              <w:pStyle w:val="56"/>
              <w:widowControl w:val="0"/>
              <w:numPr>
                <w:ilvl w:val="0"/>
                <w:numId w:val="7"/>
              </w:numPr>
              <w:spacing w:before="120" w:after="120"/>
              <w:ind w:left="140" w:leftChars="0" w:hanging="142" w:firstLineChars="0"/>
              <w:rPr>
                <w:color w:val="auto"/>
                <w:sz w:val="16"/>
                <w:szCs w:val="16"/>
              </w:rPr>
            </w:pPr>
            <w:r>
              <w:rPr>
                <w:color w:val="auto"/>
                <w:sz w:val="16"/>
                <w:szCs w:val="16"/>
              </w:rPr>
              <w:t>Orificii: 7 în față + 1 în spate</w:t>
            </w:r>
          </w:p>
          <w:p w14:paraId="1155EA64">
            <w:pPr>
              <w:pStyle w:val="56"/>
              <w:widowControl w:val="0"/>
              <w:numPr>
                <w:ilvl w:val="0"/>
                <w:numId w:val="7"/>
              </w:numPr>
              <w:spacing w:before="120" w:after="120"/>
              <w:ind w:left="140" w:leftChars="0" w:hanging="142" w:firstLineChars="0"/>
              <w:rPr>
                <w:color w:val="auto"/>
                <w:sz w:val="16"/>
                <w:szCs w:val="16"/>
              </w:rPr>
            </w:pPr>
            <w:r>
              <w:rPr>
                <w:color w:val="auto"/>
                <w:sz w:val="16"/>
                <w:szCs w:val="16"/>
              </w:rPr>
              <w:t>Gamă muzicală: aproximativ 2 octave</w:t>
            </w:r>
          </w:p>
          <w:p w14:paraId="280DA7B1">
            <w:pPr>
              <w:pStyle w:val="56"/>
              <w:widowControl w:val="0"/>
              <w:numPr>
                <w:ilvl w:val="0"/>
                <w:numId w:val="7"/>
              </w:numPr>
              <w:spacing w:before="120" w:after="120"/>
              <w:ind w:left="140" w:leftChars="0" w:hanging="142" w:firstLineChars="0"/>
              <w:rPr>
                <w:color w:val="auto"/>
                <w:sz w:val="16"/>
                <w:szCs w:val="16"/>
              </w:rPr>
            </w:pPr>
            <w:r>
              <w:rPr>
                <w:color w:val="auto"/>
                <w:sz w:val="16"/>
                <w:szCs w:val="16"/>
              </w:rPr>
              <w:t>Accesorii incluse: husă de protecție, bețișor pentru curățare, manual de utilizare, grăsime pentru îmbinări.</w:t>
            </w:r>
          </w:p>
        </w:tc>
        <w:tc>
          <w:tcPr>
            <w:tcW w:w="1276" w:type="dxa"/>
            <w:shd w:val="clear" w:color="auto" w:fill="auto"/>
            <w:vAlign w:val="center"/>
          </w:tcPr>
          <w:p w14:paraId="2EE6EEF8">
            <w:pPr>
              <w:widowControl w:val="0"/>
              <w:spacing w:before="120" w:after="120"/>
              <w:jc w:val="center"/>
              <w:rPr>
                <w:color w:val="000000"/>
                <w:spacing w:val="-6"/>
                <w:sz w:val="16"/>
                <w:szCs w:val="16"/>
                <w:lang w:val="ro-RO"/>
              </w:rPr>
            </w:pPr>
            <w:r>
              <w:rPr>
                <w:color w:val="000000"/>
                <w:spacing w:val="-6"/>
                <w:sz w:val="16"/>
                <w:szCs w:val="16"/>
                <w:lang w:val="ro-RO"/>
              </w:rPr>
              <w:t>Nu este cazul</w:t>
            </w:r>
          </w:p>
        </w:tc>
        <w:tc>
          <w:tcPr>
            <w:tcW w:w="1292" w:type="dxa"/>
            <w:vAlign w:val="center"/>
          </w:tcPr>
          <w:p w14:paraId="6C6A6660">
            <w:pPr>
              <w:widowControl w:val="0"/>
              <w:spacing w:before="120" w:after="120"/>
              <w:jc w:val="center"/>
              <w:rPr>
                <w:color w:val="000000"/>
                <w:spacing w:val="-6"/>
                <w:sz w:val="16"/>
                <w:szCs w:val="16"/>
                <w:lang w:val="ro-RO"/>
              </w:rPr>
            </w:pPr>
            <w:r>
              <w:rPr>
                <w:color w:val="000000"/>
                <w:spacing w:val="-6"/>
                <w:sz w:val="16"/>
                <w:szCs w:val="16"/>
                <w:lang w:val="ro-RO"/>
              </w:rPr>
              <w:t>Minim 36 luni</w:t>
            </w:r>
          </w:p>
        </w:tc>
      </w:tr>
      <w:tr w14:paraId="7AFA658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47FAC723">
            <w:pPr>
              <w:widowControl w:val="0"/>
              <w:spacing w:before="120" w:after="120"/>
              <w:jc w:val="center"/>
              <w:rPr>
                <w:bCs/>
                <w:iCs/>
                <w:spacing w:val="-6"/>
                <w:sz w:val="16"/>
                <w:szCs w:val="16"/>
                <w:lang w:val="ro-RO"/>
              </w:rPr>
            </w:pPr>
            <w:r>
              <w:rPr>
                <w:color w:val="000000"/>
                <w:sz w:val="16"/>
                <w:szCs w:val="16"/>
                <w:lang w:val="ro-RO"/>
              </w:rPr>
              <w:t>Pianină</w:t>
            </w:r>
            <w:r>
              <w:rPr>
                <w:color w:val="auto"/>
                <w:sz w:val="16"/>
                <w:szCs w:val="16"/>
                <w:lang w:val="ro-RO"/>
              </w:rPr>
              <w:t xml:space="preserve"> mecanică</w:t>
            </w:r>
          </w:p>
        </w:tc>
        <w:tc>
          <w:tcPr>
            <w:tcW w:w="891" w:type="dxa"/>
            <w:vAlign w:val="center"/>
          </w:tcPr>
          <w:p w14:paraId="7AB67037">
            <w:pPr>
              <w:widowControl w:val="0"/>
              <w:spacing w:before="120" w:after="120"/>
              <w:jc w:val="center"/>
              <w:rPr>
                <w:bCs/>
                <w:i/>
                <w:iCs/>
                <w:spacing w:val="-6"/>
                <w:sz w:val="16"/>
                <w:szCs w:val="16"/>
                <w:lang w:val="ro-RO"/>
              </w:rPr>
            </w:pPr>
            <w:r>
              <w:rPr>
                <w:b/>
                <w:bCs/>
                <w:color w:val="000000"/>
                <w:sz w:val="16"/>
                <w:szCs w:val="16"/>
                <w:lang w:val="ro-RO"/>
              </w:rPr>
              <w:t>2</w:t>
            </w:r>
          </w:p>
        </w:tc>
        <w:tc>
          <w:tcPr>
            <w:tcW w:w="795" w:type="dxa"/>
            <w:shd w:val="clear" w:color="auto" w:fill="auto"/>
            <w:vAlign w:val="center"/>
          </w:tcPr>
          <w:p w14:paraId="43FBDA67">
            <w:pPr>
              <w:widowControl w:val="0"/>
              <w:spacing w:before="120" w:after="120"/>
              <w:jc w:val="center"/>
              <w:rPr>
                <w:color w:val="000000"/>
                <w:spacing w:val="-6"/>
                <w:sz w:val="16"/>
                <w:szCs w:val="16"/>
                <w:lang w:val="ro-RO"/>
              </w:rPr>
            </w:pPr>
            <w:r>
              <w:rPr>
                <w:color w:val="000000"/>
                <w:spacing w:val="-6"/>
                <w:sz w:val="16"/>
                <w:szCs w:val="16"/>
                <w:lang w:val="ro-RO"/>
              </w:rPr>
              <w:t>bucată</w:t>
            </w:r>
          </w:p>
        </w:tc>
        <w:tc>
          <w:tcPr>
            <w:tcW w:w="1417" w:type="dxa"/>
            <w:shd w:val="clear" w:color="auto" w:fill="auto"/>
            <w:vAlign w:val="center"/>
          </w:tcPr>
          <w:p w14:paraId="2FF674F7">
            <w:pPr>
              <w:widowControl w:val="0"/>
              <w:spacing w:before="120" w:after="120"/>
              <w:jc w:val="center"/>
              <w:rPr>
                <w:color w:val="000000"/>
                <w:spacing w:val="-6"/>
                <w:sz w:val="16"/>
                <w:szCs w:val="16"/>
                <w:lang w:val="ro-RO"/>
              </w:rPr>
            </w:pPr>
            <w:r>
              <w:rPr>
                <w:color w:val="000000"/>
                <w:spacing w:val="-6"/>
                <w:sz w:val="16"/>
                <w:szCs w:val="16"/>
                <w:lang w:val="ro-RO"/>
              </w:rPr>
              <w:t>Municipiul Slobozia, conform repartizării indicată de către Autoritatea Contractantă / specificată în Anexa 1</w:t>
            </w:r>
          </w:p>
        </w:tc>
        <w:tc>
          <w:tcPr>
            <w:tcW w:w="1134" w:type="dxa"/>
            <w:shd w:val="clear" w:color="auto" w:fill="auto"/>
            <w:vAlign w:val="center"/>
          </w:tcPr>
          <w:p w14:paraId="1CF1EF84">
            <w:pPr>
              <w:widowControl w:val="0"/>
              <w:spacing w:before="120" w:after="120"/>
              <w:jc w:val="center"/>
              <w:rPr>
                <w:color w:val="000000"/>
                <w:spacing w:val="-6"/>
                <w:sz w:val="16"/>
                <w:szCs w:val="16"/>
                <w:lang w:val="ro-RO"/>
              </w:rPr>
            </w:pPr>
            <w:r>
              <w:rPr>
                <w:rFonts w:hint="default"/>
                <w:color w:val="auto"/>
                <w:sz w:val="16"/>
                <w:szCs w:val="16"/>
                <w:lang w:val="en-US"/>
              </w:rPr>
              <w:t>1</w:t>
            </w:r>
            <w:r>
              <w:rPr>
                <w:color w:val="auto"/>
                <w:sz w:val="16"/>
                <w:szCs w:val="16"/>
                <w:lang w:val="ro-RO"/>
              </w:rPr>
              <w:t>0 de zile de la data lansării comenzi</w:t>
            </w:r>
          </w:p>
        </w:tc>
        <w:tc>
          <w:tcPr>
            <w:tcW w:w="2835" w:type="dxa"/>
            <w:shd w:val="clear" w:color="auto" w:fill="auto"/>
          </w:tcPr>
          <w:p w14:paraId="087E4EE2">
            <w:pPr>
              <w:pStyle w:val="56"/>
              <w:widowControl w:val="0"/>
              <w:numPr>
                <w:ilvl w:val="0"/>
                <w:numId w:val="7"/>
              </w:numPr>
              <w:spacing w:before="120" w:after="120"/>
              <w:ind w:left="140" w:leftChars="0" w:hanging="142" w:firstLineChars="0"/>
              <w:rPr>
                <w:color w:val="000000"/>
                <w:sz w:val="16"/>
                <w:szCs w:val="16"/>
              </w:rPr>
            </w:pPr>
            <w:r>
              <w:rPr>
                <w:color w:val="000000"/>
                <w:sz w:val="16"/>
                <w:szCs w:val="16"/>
              </w:rPr>
              <w:t>Înălțime: aproximativ 110 – 130 cm</w:t>
            </w:r>
          </w:p>
          <w:p w14:paraId="70A4E2DB">
            <w:pPr>
              <w:pStyle w:val="56"/>
              <w:widowControl w:val="0"/>
              <w:numPr>
                <w:ilvl w:val="0"/>
                <w:numId w:val="7"/>
              </w:numPr>
              <w:spacing w:before="120" w:after="120"/>
              <w:ind w:left="140" w:leftChars="0" w:hanging="142" w:firstLineChars="0"/>
              <w:rPr>
                <w:color w:val="000000"/>
                <w:sz w:val="16"/>
                <w:szCs w:val="16"/>
              </w:rPr>
            </w:pPr>
            <w:r>
              <w:rPr>
                <w:color w:val="000000"/>
                <w:sz w:val="16"/>
                <w:szCs w:val="16"/>
              </w:rPr>
              <w:t>Lățime: 145-155 cm</w:t>
            </w:r>
          </w:p>
          <w:p w14:paraId="009FD297">
            <w:pPr>
              <w:pStyle w:val="56"/>
              <w:widowControl w:val="0"/>
              <w:numPr>
                <w:ilvl w:val="0"/>
                <w:numId w:val="7"/>
              </w:numPr>
              <w:spacing w:before="120" w:after="120"/>
              <w:ind w:left="140" w:leftChars="0" w:hanging="142" w:firstLineChars="0"/>
              <w:rPr>
                <w:color w:val="000000"/>
                <w:sz w:val="16"/>
                <w:szCs w:val="16"/>
              </w:rPr>
            </w:pPr>
            <w:r>
              <w:rPr>
                <w:color w:val="000000"/>
                <w:sz w:val="16"/>
                <w:szCs w:val="16"/>
              </w:rPr>
              <w:t>Adâncime: 50 – 65 cm</w:t>
            </w:r>
          </w:p>
          <w:p w14:paraId="0E5E950B">
            <w:pPr>
              <w:pStyle w:val="56"/>
              <w:widowControl w:val="0"/>
              <w:numPr>
                <w:ilvl w:val="0"/>
                <w:numId w:val="7"/>
              </w:numPr>
              <w:spacing w:before="120" w:after="120"/>
              <w:ind w:left="140" w:leftChars="0" w:hanging="142" w:firstLineChars="0"/>
              <w:rPr>
                <w:color w:val="000000"/>
                <w:sz w:val="16"/>
                <w:szCs w:val="16"/>
              </w:rPr>
            </w:pPr>
            <w:r>
              <w:rPr>
                <w:color w:val="000000"/>
                <w:sz w:val="16"/>
                <w:szCs w:val="16"/>
              </w:rPr>
              <w:t>Greutate: 180 – 250 kg</w:t>
            </w:r>
          </w:p>
          <w:p w14:paraId="5D888496">
            <w:pPr>
              <w:pStyle w:val="56"/>
              <w:widowControl w:val="0"/>
              <w:numPr>
                <w:ilvl w:val="0"/>
                <w:numId w:val="7"/>
              </w:numPr>
              <w:spacing w:before="120" w:after="120"/>
              <w:ind w:left="140" w:leftChars="0" w:hanging="142" w:firstLineChars="0"/>
              <w:rPr>
                <w:color w:val="000000"/>
                <w:sz w:val="16"/>
                <w:szCs w:val="16"/>
              </w:rPr>
            </w:pPr>
            <w:r>
              <w:rPr>
                <w:color w:val="000000"/>
                <w:sz w:val="16"/>
                <w:szCs w:val="16"/>
              </w:rPr>
              <w:t>Cadru din fontă</w:t>
            </w:r>
          </w:p>
          <w:p w14:paraId="59535FAC">
            <w:pPr>
              <w:pStyle w:val="56"/>
              <w:widowControl w:val="0"/>
              <w:numPr>
                <w:ilvl w:val="0"/>
                <w:numId w:val="7"/>
              </w:numPr>
              <w:spacing w:before="120" w:after="120"/>
              <w:ind w:left="140" w:leftChars="0" w:hanging="142" w:firstLineChars="0"/>
              <w:rPr>
                <w:color w:val="000000"/>
                <w:sz w:val="16"/>
                <w:szCs w:val="16"/>
              </w:rPr>
            </w:pPr>
            <w:r>
              <w:rPr>
                <w:color w:val="000000"/>
                <w:sz w:val="16"/>
                <w:szCs w:val="16"/>
              </w:rPr>
              <w:t>Carcasă din lemn masiv</w:t>
            </w:r>
          </w:p>
          <w:p w14:paraId="6E8A1E4D">
            <w:pPr>
              <w:pStyle w:val="56"/>
              <w:widowControl w:val="0"/>
              <w:numPr>
                <w:ilvl w:val="0"/>
                <w:numId w:val="7"/>
              </w:numPr>
              <w:spacing w:before="120" w:after="120"/>
              <w:ind w:left="140" w:leftChars="0" w:hanging="142" w:firstLineChars="0"/>
              <w:rPr>
                <w:color w:val="000000"/>
                <w:sz w:val="16"/>
                <w:szCs w:val="16"/>
              </w:rPr>
            </w:pPr>
            <w:r>
              <w:rPr>
                <w:color w:val="000000"/>
                <w:sz w:val="16"/>
                <w:szCs w:val="16"/>
              </w:rPr>
              <w:t>Clape albe din material acrilic / fildeș sintetic sau echivalent și clape negre din lemn ebonizat</w:t>
            </w:r>
          </w:p>
          <w:p w14:paraId="43B9617D">
            <w:pPr>
              <w:pStyle w:val="56"/>
              <w:widowControl w:val="0"/>
              <w:numPr>
                <w:ilvl w:val="0"/>
                <w:numId w:val="7"/>
              </w:numPr>
              <w:spacing w:before="120" w:after="120"/>
              <w:ind w:left="140" w:leftChars="0" w:hanging="142" w:firstLineChars="0"/>
              <w:rPr>
                <w:color w:val="000000"/>
                <w:sz w:val="16"/>
                <w:szCs w:val="16"/>
              </w:rPr>
            </w:pPr>
            <w:r>
              <w:rPr>
                <w:color w:val="000000"/>
                <w:sz w:val="16"/>
                <w:szCs w:val="16"/>
              </w:rPr>
              <w:t>Corzi din oțel înalt carbon</w:t>
            </w:r>
          </w:p>
          <w:p w14:paraId="39DDD971">
            <w:pPr>
              <w:pStyle w:val="56"/>
              <w:widowControl w:val="0"/>
              <w:numPr>
                <w:ilvl w:val="0"/>
                <w:numId w:val="7"/>
              </w:numPr>
              <w:spacing w:before="120" w:after="120"/>
              <w:ind w:left="140" w:leftChars="0" w:hanging="142" w:firstLineChars="0"/>
              <w:rPr>
                <w:color w:val="000000"/>
                <w:sz w:val="16"/>
                <w:szCs w:val="16"/>
              </w:rPr>
            </w:pPr>
            <w:r>
              <w:rPr>
                <w:color w:val="000000"/>
                <w:sz w:val="16"/>
                <w:szCs w:val="16"/>
              </w:rPr>
              <w:t>Ciocănele din lemn de arțar cu fețe din pâslă comprimată</w:t>
            </w:r>
          </w:p>
          <w:p w14:paraId="0EEBA683">
            <w:pPr>
              <w:pStyle w:val="56"/>
              <w:widowControl w:val="0"/>
              <w:numPr>
                <w:ilvl w:val="0"/>
                <w:numId w:val="7"/>
              </w:numPr>
              <w:spacing w:before="120" w:after="120"/>
              <w:ind w:left="140" w:leftChars="0" w:hanging="142" w:firstLineChars="0"/>
              <w:rPr>
                <w:color w:val="000000"/>
                <w:sz w:val="16"/>
                <w:szCs w:val="16"/>
              </w:rPr>
            </w:pPr>
            <w:r>
              <w:rPr>
                <w:color w:val="000000"/>
                <w:sz w:val="16"/>
                <w:szCs w:val="16"/>
              </w:rPr>
              <w:t>Tip mecanism: Mecanism cu ciocănele (acțiune verticală)</w:t>
            </w:r>
          </w:p>
          <w:p w14:paraId="015F96A2">
            <w:pPr>
              <w:pStyle w:val="56"/>
              <w:widowControl w:val="0"/>
              <w:numPr>
                <w:ilvl w:val="0"/>
                <w:numId w:val="7"/>
              </w:numPr>
              <w:spacing w:before="120" w:after="120"/>
              <w:ind w:left="140" w:leftChars="0" w:hanging="142" w:firstLineChars="0"/>
              <w:rPr>
                <w:color w:val="000000"/>
                <w:sz w:val="16"/>
                <w:szCs w:val="16"/>
              </w:rPr>
            </w:pPr>
            <w:r>
              <w:rPr>
                <w:color w:val="000000"/>
                <w:sz w:val="16"/>
                <w:szCs w:val="16"/>
              </w:rPr>
              <w:t>Număr de clape 88 (52 albe + 36 negre)</w:t>
            </w:r>
          </w:p>
          <w:p w14:paraId="4B226A51">
            <w:pPr>
              <w:pStyle w:val="56"/>
              <w:widowControl w:val="0"/>
              <w:numPr>
                <w:ilvl w:val="0"/>
                <w:numId w:val="7"/>
              </w:numPr>
              <w:spacing w:before="120" w:after="120"/>
              <w:ind w:left="140" w:leftChars="0" w:hanging="142" w:firstLineChars="0"/>
              <w:rPr>
                <w:color w:val="000000"/>
                <w:sz w:val="16"/>
                <w:szCs w:val="16"/>
              </w:rPr>
            </w:pPr>
            <w:r>
              <w:rPr>
                <w:color w:val="000000"/>
                <w:sz w:val="16"/>
                <w:szCs w:val="16"/>
              </w:rPr>
              <w:t>Pedale: 3 – soft, sustain și sostenuto</w:t>
            </w:r>
          </w:p>
          <w:p w14:paraId="02557860">
            <w:pPr>
              <w:pStyle w:val="56"/>
              <w:widowControl w:val="0"/>
              <w:numPr>
                <w:ilvl w:val="0"/>
                <w:numId w:val="7"/>
              </w:numPr>
              <w:spacing w:before="120" w:after="120"/>
              <w:ind w:left="140" w:leftChars="0" w:hanging="142" w:firstLineChars="0"/>
              <w:rPr>
                <w:color w:val="000000"/>
                <w:sz w:val="16"/>
                <w:szCs w:val="16"/>
              </w:rPr>
            </w:pPr>
            <w:r>
              <w:rPr>
                <w:color w:val="000000"/>
                <w:sz w:val="16"/>
                <w:szCs w:val="16"/>
              </w:rPr>
              <w:t>Accesorii incluse: sistem de închidere a clapelor</w:t>
            </w:r>
          </w:p>
        </w:tc>
        <w:tc>
          <w:tcPr>
            <w:tcW w:w="1276" w:type="dxa"/>
            <w:shd w:val="clear" w:color="auto" w:fill="auto"/>
            <w:vAlign w:val="center"/>
          </w:tcPr>
          <w:p w14:paraId="23F7BCBD">
            <w:pPr>
              <w:widowControl w:val="0"/>
              <w:spacing w:before="120" w:after="120"/>
              <w:jc w:val="center"/>
              <w:rPr>
                <w:color w:val="000000"/>
                <w:spacing w:val="-6"/>
                <w:sz w:val="16"/>
                <w:szCs w:val="16"/>
                <w:lang w:val="ro-RO"/>
              </w:rPr>
            </w:pPr>
            <w:r>
              <w:rPr>
                <w:color w:val="000000"/>
                <w:spacing w:val="-6"/>
                <w:sz w:val="16"/>
                <w:szCs w:val="16"/>
                <w:lang w:val="ro-RO"/>
              </w:rPr>
              <w:t>Nu este cazul</w:t>
            </w:r>
          </w:p>
        </w:tc>
        <w:tc>
          <w:tcPr>
            <w:tcW w:w="1292" w:type="dxa"/>
            <w:vAlign w:val="center"/>
          </w:tcPr>
          <w:p w14:paraId="72106B89">
            <w:pPr>
              <w:widowControl w:val="0"/>
              <w:spacing w:before="120" w:after="120"/>
              <w:jc w:val="center"/>
              <w:rPr>
                <w:color w:val="000000"/>
                <w:spacing w:val="-6"/>
                <w:sz w:val="16"/>
                <w:szCs w:val="16"/>
                <w:lang w:val="ro-RO"/>
              </w:rPr>
            </w:pPr>
            <w:r>
              <w:rPr>
                <w:color w:val="000000"/>
                <w:spacing w:val="-6"/>
                <w:sz w:val="16"/>
                <w:szCs w:val="16"/>
                <w:lang w:val="ro-RO"/>
              </w:rPr>
              <w:t>Minim 36 luni</w:t>
            </w:r>
          </w:p>
        </w:tc>
      </w:tr>
      <w:tr w14:paraId="1412C60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73169295">
            <w:pPr>
              <w:widowControl w:val="0"/>
              <w:spacing w:before="120" w:after="120"/>
              <w:jc w:val="center"/>
              <w:rPr>
                <w:bCs/>
                <w:iCs/>
                <w:spacing w:val="-6"/>
                <w:sz w:val="16"/>
                <w:szCs w:val="16"/>
                <w:lang w:val="ro-RO"/>
              </w:rPr>
            </w:pPr>
            <w:r>
              <w:rPr>
                <w:color w:val="000000"/>
                <w:sz w:val="16"/>
                <w:szCs w:val="16"/>
                <w:lang w:val="ro-RO"/>
              </w:rPr>
              <w:t>Set vioară acustică 4/4</w:t>
            </w:r>
          </w:p>
        </w:tc>
        <w:tc>
          <w:tcPr>
            <w:tcW w:w="891" w:type="dxa"/>
            <w:vAlign w:val="center"/>
          </w:tcPr>
          <w:p w14:paraId="44025F88">
            <w:pPr>
              <w:widowControl w:val="0"/>
              <w:spacing w:before="120" w:after="120"/>
              <w:jc w:val="center"/>
              <w:rPr>
                <w:bCs/>
                <w:i/>
                <w:iCs/>
                <w:spacing w:val="-6"/>
                <w:sz w:val="16"/>
                <w:szCs w:val="16"/>
                <w:lang w:val="ro-RO"/>
              </w:rPr>
            </w:pPr>
            <w:r>
              <w:rPr>
                <w:b/>
                <w:bCs/>
                <w:color w:val="000000"/>
                <w:sz w:val="16"/>
                <w:szCs w:val="16"/>
                <w:lang w:val="ro-RO"/>
              </w:rPr>
              <w:t>4</w:t>
            </w:r>
          </w:p>
        </w:tc>
        <w:tc>
          <w:tcPr>
            <w:tcW w:w="795" w:type="dxa"/>
            <w:shd w:val="clear" w:color="auto" w:fill="auto"/>
            <w:vAlign w:val="center"/>
          </w:tcPr>
          <w:p w14:paraId="2A17B28F">
            <w:pPr>
              <w:widowControl w:val="0"/>
              <w:spacing w:before="120" w:after="120"/>
              <w:jc w:val="center"/>
              <w:rPr>
                <w:color w:val="000000"/>
                <w:spacing w:val="-6"/>
                <w:sz w:val="16"/>
                <w:szCs w:val="16"/>
                <w:lang w:val="ro-RO"/>
              </w:rPr>
            </w:pPr>
            <w:r>
              <w:rPr>
                <w:color w:val="000000"/>
                <w:spacing w:val="-6"/>
                <w:sz w:val="16"/>
                <w:szCs w:val="16"/>
                <w:lang w:val="ro-RO"/>
              </w:rPr>
              <w:t>bucată</w:t>
            </w:r>
          </w:p>
        </w:tc>
        <w:tc>
          <w:tcPr>
            <w:tcW w:w="1417" w:type="dxa"/>
            <w:shd w:val="clear" w:color="auto" w:fill="auto"/>
            <w:vAlign w:val="center"/>
          </w:tcPr>
          <w:p w14:paraId="6A29DCBB">
            <w:pPr>
              <w:widowControl w:val="0"/>
              <w:spacing w:before="120" w:after="120"/>
              <w:jc w:val="center"/>
              <w:rPr>
                <w:color w:val="000000"/>
                <w:spacing w:val="-6"/>
                <w:sz w:val="16"/>
                <w:szCs w:val="16"/>
                <w:lang w:val="ro-RO"/>
              </w:rPr>
            </w:pPr>
            <w:r>
              <w:rPr>
                <w:color w:val="000000"/>
                <w:spacing w:val="-6"/>
                <w:sz w:val="16"/>
                <w:szCs w:val="16"/>
                <w:lang w:val="ro-RO"/>
              </w:rPr>
              <w:t>Municipiul Slobozia, conform repartizării indicată de către Autoritatea Contractantă / specificată în Anexa 1</w:t>
            </w:r>
          </w:p>
        </w:tc>
        <w:tc>
          <w:tcPr>
            <w:tcW w:w="1134" w:type="dxa"/>
            <w:shd w:val="clear" w:color="auto" w:fill="auto"/>
            <w:vAlign w:val="center"/>
          </w:tcPr>
          <w:p w14:paraId="6305E865">
            <w:pPr>
              <w:widowControl w:val="0"/>
              <w:spacing w:before="120" w:after="120"/>
              <w:jc w:val="center"/>
              <w:rPr>
                <w:color w:val="000000"/>
                <w:spacing w:val="-6"/>
                <w:sz w:val="16"/>
                <w:szCs w:val="16"/>
                <w:lang w:val="ro-RO"/>
              </w:rPr>
            </w:pPr>
            <w:r>
              <w:rPr>
                <w:rFonts w:hint="default"/>
                <w:color w:val="auto"/>
                <w:sz w:val="16"/>
                <w:szCs w:val="16"/>
                <w:lang w:val="en-US"/>
              </w:rPr>
              <w:t>1</w:t>
            </w:r>
            <w:r>
              <w:rPr>
                <w:color w:val="auto"/>
                <w:sz w:val="16"/>
                <w:szCs w:val="16"/>
                <w:lang w:val="ro-RO"/>
              </w:rPr>
              <w:t>0 de zile de la data lansării comenzi</w:t>
            </w:r>
          </w:p>
        </w:tc>
        <w:tc>
          <w:tcPr>
            <w:tcW w:w="2835" w:type="dxa"/>
            <w:shd w:val="clear" w:color="auto" w:fill="auto"/>
            <w:vAlign w:val="center"/>
          </w:tcPr>
          <w:p w14:paraId="74B14B32">
            <w:pPr>
              <w:pStyle w:val="56"/>
              <w:widowControl w:val="0"/>
              <w:numPr>
                <w:ilvl w:val="0"/>
                <w:numId w:val="7"/>
              </w:numPr>
              <w:spacing w:before="120" w:after="120"/>
              <w:ind w:left="140" w:leftChars="0" w:hanging="142" w:firstLineChars="0"/>
              <w:rPr>
                <w:color w:val="000000"/>
                <w:sz w:val="16"/>
                <w:szCs w:val="16"/>
              </w:rPr>
            </w:pPr>
            <w:r>
              <w:rPr>
                <w:color w:val="000000"/>
                <w:sz w:val="16"/>
                <w:szCs w:val="16"/>
              </w:rPr>
              <w:t>Mărime 4/4 (potrivită pentru copii cu o lungime a brațului mai mare de 60 cm);</w:t>
            </w:r>
          </w:p>
          <w:p w14:paraId="04576E75">
            <w:pPr>
              <w:pStyle w:val="56"/>
              <w:widowControl w:val="0"/>
              <w:numPr>
                <w:ilvl w:val="0"/>
                <w:numId w:val="7"/>
              </w:numPr>
              <w:spacing w:before="120" w:after="120"/>
              <w:ind w:left="140" w:leftChars="0" w:hanging="142" w:firstLineChars="0"/>
              <w:rPr>
                <w:color w:val="auto"/>
                <w:sz w:val="16"/>
                <w:szCs w:val="16"/>
              </w:rPr>
            </w:pPr>
            <w:r>
              <w:rPr>
                <w:color w:val="000000"/>
                <w:sz w:val="16"/>
                <w:szCs w:val="16"/>
              </w:rPr>
              <w:t>Setul include: vioara, arcuș, toc rigid, sacâz</w:t>
            </w:r>
          </w:p>
          <w:p w14:paraId="2935271E">
            <w:pPr>
              <w:pStyle w:val="56"/>
              <w:widowControl w:val="0"/>
              <w:numPr>
                <w:ilvl w:val="0"/>
                <w:numId w:val="7"/>
              </w:numPr>
              <w:spacing w:before="120" w:after="120"/>
              <w:ind w:left="142" w:leftChars="0" w:hanging="142" w:firstLineChars="0"/>
              <w:rPr>
                <w:strike/>
                <w:color w:val="auto"/>
                <w:sz w:val="16"/>
                <w:szCs w:val="16"/>
              </w:rPr>
            </w:pPr>
            <w:r>
              <w:rPr>
                <w:color w:val="auto"/>
                <w:sz w:val="16"/>
                <w:szCs w:val="16"/>
              </w:rPr>
              <w:t xml:space="preserve">Corp: Realizat din lemn de molid sau arțar. </w:t>
            </w:r>
          </w:p>
          <w:p w14:paraId="772A6E9B">
            <w:pPr>
              <w:pStyle w:val="56"/>
              <w:widowControl w:val="0"/>
              <w:numPr>
                <w:ilvl w:val="0"/>
                <w:numId w:val="7"/>
              </w:numPr>
              <w:spacing w:before="120" w:after="120"/>
              <w:ind w:left="140" w:leftChars="0" w:hanging="142" w:firstLineChars="0"/>
              <w:rPr>
                <w:color w:val="auto"/>
                <w:sz w:val="16"/>
                <w:szCs w:val="16"/>
              </w:rPr>
            </w:pPr>
            <w:r>
              <w:rPr>
                <w:color w:val="auto"/>
                <w:sz w:val="16"/>
                <w:szCs w:val="16"/>
              </w:rPr>
              <w:t>Gât, bărbie și cordar: Confecționate din plastic sau lemn</w:t>
            </w:r>
          </w:p>
          <w:p w14:paraId="08D1439D">
            <w:pPr>
              <w:pStyle w:val="56"/>
              <w:widowControl w:val="0"/>
              <w:numPr>
                <w:ilvl w:val="0"/>
                <w:numId w:val="7"/>
              </w:numPr>
              <w:spacing w:before="120" w:after="120"/>
              <w:ind w:left="140" w:leftChars="0" w:hanging="142" w:firstLineChars="0"/>
              <w:rPr>
                <w:color w:val="000000"/>
                <w:sz w:val="16"/>
                <w:szCs w:val="16"/>
              </w:rPr>
            </w:pPr>
            <w:r>
              <w:rPr>
                <w:color w:val="auto"/>
                <w:sz w:val="16"/>
                <w:szCs w:val="16"/>
              </w:rPr>
              <w:t>Corzi: Setul include patru corzi metalice sau sintetice</w:t>
            </w:r>
          </w:p>
        </w:tc>
        <w:tc>
          <w:tcPr>
            <w:tcW w:w="1276" w:type="dxa"/>
            <w:shd w:val="clear" w:color="auto" w:fill="auto"/>
            <w:vAlign w:val="center"/>
          </w:tcPr>
          <w:p w14:paraId="5F1B9987">
            <w:pPr>
              <w:widowControl w:val="0"/>
              <w:spacing w:before="120" w:after="120"/>
              <w:jc w:val="center"/>
              <w:rPr>
                <w:color w:val="000000"/>
                <w:spacing w:val="-6"/>
                <w:sz w:val="16"/>
                <w:szCs w:val="16"/>
                <w:lang w:val="ro-RO"/>
              </w:rPr>
            </w:pPr>
            <w:r>
              <w:rPr>
                <w:color w:val="000000"/>
                <w:spacing w:val="-6"/>
                <w:sz w:val="16"/>
                <w:szCs w:val="16"/>
                <w:lang w:val="ro-RO"/>
              </w:rPr>
              <w:t>Nu este cazul</w:t>
            </w:r>
          </w:p>
        </w:tc>
        <w:tc>
          <w:tcPr>
            <w:tcW w:w="1292" w:type="dxa"/>
            <w:vAlign w:val="center"/>
          </w:tcPr>
          <w:p w14:paraId="40DDB26D">
            <w:pPr>
              <w:widowControl w:val="0"/>
              <w:spacing w:before="120" w:after="120"/>
              <w:jc w:val="center"/>
              <w:rPr>
                <w:color w:val="000000"/>
                <w:spacing w:val="-6"/>
                <w:sz w:val="16"/>
                <w:szCs w:val="16"/>
                <w:lang w:val="ro-RO"/>
              </w:rPr>
            </w:pPr>
            <w:r>
              <w:rPr>
                <w:color w:val="000000"/>
                <w:spacing w:val="-6"/>
                <w:sz w:val="16"/>
                <w:szCs w:val="16"/>
                <w:lang w:val="ro-RO"/>
              </w:rPr>
              <w:t>Minim 36 luni</w:t>
            </w:r>
          </w:p>
        </w:tc>
      </w:tr>
      <w:tr w14:paraId="7E50BD4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2F43F0DB">
            <w:pPr>
              <w:widowControl w:val="0"/>
              <w:spacing w:before="120" w:after="120"/>
              <w:jc w:val="center"/>
              <w:rPr>
                <w:bCs/>
                <w:iCs/>
                <w:spacing w:val="-6"/>
                <w:sz w:val="16"/>
                <w:szCs w:val="16"/>
                <w:lang w:val="ro-RO"/>
              </w:rPr>
            </w:pPr>
            <w:r>
              <w:rPr>
                <w:color w:val="000000"/>
                <w:sz w:val="16"/>
                <w:szCs w:val="16"/>
                <w:lang w:val="ro-RO"/>
              </w:rPr>
              <w:t>Set cinele pentru tobe</w:t>
            </w:r>
          </w:p>
        </w:tc>
        <w:tc>
          <w:tcPr>
            <w:tcW w:w="891" w:type="dxa"/>
            <w:vAlign w:val="center"/>
          </w:tcPr>
          <w:p w14:paraId="5C7BD421">
            <w:pPr>
              <w:widowControl w:val="0"/>
              <w:spacing w:before="120" w:after="120"/>
              <w:jc w:val="center"/>
              <w:rPr>
                <w:bCs/>
                <w:i/>
                <w:iCs/>
                <w:spacing w:val="-6"/>
                <w:sz w:val="16"/>
                <w:szCs w:val="16"/>
                <w:lang w:val="ro-RO"/>
              </w:rPr>
            </w:pPr>
            <w:r>
              <w:rPr>
                <w:b/>
                <w:bCs/>
                <w:color w:val="000000"/>
                <w:sz w:val="16"/>
                <w:szCs w:val="16"/>
                <w:lang w:val="ro-RO"/>
              </w:rPr>
              <w:t>1</w:t>
            </w:r>
          </w:p>
        </w:tc>
        <w:tc>
          <w:tcPr>
            <w:tcW w:w="795" w:type="dxa"/>
            <w:shd w:val="clear" w:color="auto" w:fill="auto"/>
            <w:vAlign w:val="center"/>
          </w:tcPr>
          <w:p w14:paraId="1585D646">
            <w:pPr>
              <w:widowControl w:val="0"/>
              <w:spacing w:before="120" w:after="120"/>
              <w:jc w:val="center"/>
              <w:rPr>
                <w:color w:val="000000"/>
                <w:spacing w:val="-6"/>
                <w:sz w:val="16"/>
                <w:szCs w:val="16"/>
                <w:lang w:val="ro-RO"/>
              </w:rPr>
            </w:pPr>
            <w:r>
              <w:rPr>
                <w:color w:val="000000"/>
                <w:spacing w:val="-6"/>
                <w:sz w:val="16"/>
                <w:szCs w:val="16"/>
                <w:lang w:val="ro-RO"/>
              </w:rPr>
              <w:t>bucată</w:t>
            </w:r>
          </w:p>
        </w:tc>
        <w:tc>
          <w:tcPr>
            <w:tcW w:w="1417" w:type="dxa"/>
            <w:shd w:val="clear" w:color="auto" w:fill="auto"/>
            <w:vAlign w:val="center"/>
          </w:tcPr>
          <w:p w14:paraId="4A79FE91">
            <w:pPr>
              <w:widowControl w:val="0"/>
              <w:spacing w:before="120" w:after="120"/>
              <w:jc w:val="center"/>
              <w:rPr>
                <w:color w:val="000000"/>
                <w:spacing w:val="-6"/>
                <w:sz w:val="16"/>
                <w:szCs w:val="16"/>
                <w:lang w:val="ro-RO"/>
              </w:rPr>
            </w:pPr>
            <w:r>
              <w:rPr>
                <w:color w:val="000000"/>
                <w:spacing w:val="-6"/>
                <w:sz w:val="16"/>
                <w:szCs w:val="16"/>
                <w:lang w:val="ro-RO"/>
              </w:rPr>
              <w:t>Municipiul Slobozia, conform repartizării indicată de către Autoritatea Contractantă / specificată în Anexa 1</w:t>
            </w:r>
          </w:p>
        </w:tc>
        <w:tc>
          <w:tcPr>
            <w:tcW w:w="1134" w:type="dxa"/>
            <w:shd w:val="clear" w:color="auto" w:fill="auto"/>
            <w:vAlign w:val="center"/>
          </w:tcPr>
          <w:p w14:paraId="4527D0ED">
            <w:pPr>
              <w:widowControl w:val="0"/>
              <w:spacing w:before="120" w:after="120"/>
              <w:jc w:val="center"/>
              <w:rPr>
                <w:color w:val="000000"/>
                <w:spacing w:val="-6"/>
                <w:sz w:val="16"/>
                <w:szCs w:val="16"/>
                <w:lang w:val="ro-RO"/>
              </w:rPr>
            </w:pPr>
            <w:r>
              <w:rPr>
                <w:rFonts w:hint="default"/>
                <w:color w:val="auto"/>
                <w:sz w:val="16"/>
                <w:szCs w:val="16"/>
                <w:lang w:val="en-US"/>
              </w:rPr>
              <w:t>1</w:t>
            </w:r>
            <w:r>
              <w:rPr>
                <w:color w:val="auto"/>
                <w:sz w:val="16"/>
                <w:szCs w:val="16"/>
                <w:lang w:val="ro-RO"/>
              </w:rPr>
              <w:t>0 de zile de la data lansării comenzi</w:t>
            </w:r>
          </w:p>
        </w:tc>
        <w:tc>
          <w:tcPr>
            <w:tcW w:w="2835" w:type="dxa"/>
            <w:shd w:val="clear" w:color="auto" w:fill="auto"/>
          </w:tcPr>
          <w:p w14:paraId="2386DC2E">
            <w:pPr>
              <w:pStyle w:val="56"/>
              <w:widowControl w:val="0"/>
              <w:numPr>
                <w:ilvl w:val="0"/>
                <w:numId w:val="7"/>
              </w:numPr>
              <w:spacing w:before="120" w:after="120"/>
              <w:ind w:left="140" w:leftChars="0" w:hanging="142" w:firstLineChars="0"/>
              <w:rPr>
                <w:color w:val="000000"/>
                <w:sz w:val="16"/>
                <w:szCs w:val="16"/>
              </w:rPr>
            </w:pPr>
            <w:r>
              <w:rPr>
                <w:color w:val="000000"/>
                <w:sz w:val="16"/>
                <w:szCs w:val="16"/>
              </w:rPr>
              <w:t>Set format din Hi-Hat 14", sunet mediu-strălucitor, curat, focalizat, greutate medie, volum mediu și Crash 18", sunet întunecat, plin, focalizat, greutate medie, volum mediu</w:t>
            </w:r>
          </w:p>
          <w:p w14:paraId="07B9A083">
            <w:pPr>
              <w:pStyle w:val="56"/>
              <w:widowControl w:val="0"/>
              <w:numPr>
                <w:ilvl w:val="0"/>
                <w:numId w:val="7"/>
              </w:numPr>
              <w:spacing w:before="120" w:after="120"/>
              <w:ind w:left="140" w:leftChars="0" w:hanging="142" w:firstLineChars="0"/>
              <w:rPr>
                <w:color w:val="000000"/>
                <w:sz w:val="16"/>
                <w:szCs w:val="16"/>
              </w:rPr>
            </w:pPr>
            <w:r>
              <w:rPr>
                <w:color w:val="000000"/>
                <w:sz w:val="16"/>
                <w:szCs w:val="16"/>
              </w:rPr>
              <w:t>Material: aliaj de alamă MS63</w:t>
            </w:r>
          </w:p>
        </w:tc>
        <w:tc>
          <w:tcPr>
            <w:tcW w:w="1276" w:type="dxa"/>
            <w:shd w:val="clear" w:color="auto" w:fill="auto"/>
            <w:vAlign w:val="center"/>
          </w:tcPr>
          <w:p w14:paraId="774F8639">
            <w:pPr>
              <w:widowControl w:val="0"/>
              <w:spacing w:before="120" w:after="120"/>
              <w:jc w:val="center"/>
              <w:rPr>
                <w:color w:val="000000"/>
                <w:spacing w:val="-6"/>
                <w:sz w:val="16"/>
                <w:szCs w:val="16"/>
                <w:lang w:val="ro-RO"/>
              </w:rPr>
            </w:pPr>
            <w:r>
              <w:rPr>
                <w:color w:val="000000"/>
                <w:spacing w:val="-6"/>
                <w:sz w:val="16"/>
                <w:szCs w:val="16"/>
                <w:lang w:val="ro-RO"/>
              </w:rPr>
              <w:t>Nu este cazul</w:t>
            </w:r>
          </w:p>
        </w:tc>
        <w:tc>
          <w:tcPr>
            <w:tcW w:w="1292" w:type="dxa"/>
            <w:vAlign w:val="center"/>
          </w:tcPr>
          <w:p w14:paraId="40DD213B">
            <w:pPr>
              <w:widowControl w:val="0"/>
              <w:spacing w:before="120" w:after="120"/>
              <w:jc w:val="center"/>
              <w:rPr>
                <w:color w:val="000000"/>
                <w:spacing w:val="-6"/>
                <w:sz w:val="16"/>
                <w:szCs w:val="16"/>
                <w:lang w:val="ro-RO"/>
              </w:rPr>
            </w:pPr>
            <w:r>
              <w:rPr>
                <w:color w:val="000000"/>
                <w:spacing w:val="-6"/>
                <w:sz w:val="16"/>
                <w:szCs w:val="16"/>
                <w:lang w:val="ro-RO"/>
              </w:rPr>
              <w:t>Minim 36 luni</w:t>
            </w:r>
          </w:p>
        </w:tc>
      </w:tr>
      <w:tr w14:paraId="2460353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7A796B3C">
            <w:pPr>
              <w:widowControl w:val="0"/>
              <w:spacing w:before="120" w:after="120"/>
              <w:jc w:val="center"/>
              <w:rPr>
                <w:bCs/>
                <w:iCs/>
                <w:spacing w:val="-6"/>
                <w:sz w:val="16"/>
                <w:szCs w:val="16"/>
                <w:lang w:val="ro-RO"/>
              </w:rPr>
            </w:pPr>
            <w:r>
              <w:rPr>
                <w:color w:val="000000"/>
                <w:sz w:val="16"/>
                <w:szCs w:val="16"/>
                <w:lang w:val="ro-RO"/>
              </w:rPr>
              <w:t>Microfon pentru vioară</w:t>
            </w:r>
          </w:p>
        </w:tc>
        <w:tc>
          <w:tcPr>
            <w:tcW w:w="891" w:type="dxa"/>
            <w:vAlign w:val="center"/>
          </w:tcPr>
          <w:p w14:paraId="1F13CA1F">
            <w:pPr>
              <w:widowControl w:val="0"/>
              <w:spacing w:before="120" w:after="120"/>
              <w:jc w:val="center"/>
              <w:rPr>
                <w:bCs/>
                <w:i/>
                <w:iCs/>
                <w:spacing w:val="-6"/>
                <w:sz w:val="16"/>
                <w:szCs w:val="16"/>
                <w:lang w:val="ro-RO"/>
              </w:rPr>
            </w:pPr>
            <w:r>
              <w:rPr>
                <w:b/>
                <w:bCs/>
                <w:color w:val="000000"/>
                <w:sz w:val="16"/>
                <w:szCs w:val="16"/>
                <w:lang w:val="ro-RO"/>
              </w:rPr>
              <w:t>2</w:t>
            </w:r>
          </w:p>
        </w:tc>
        <w:tc>
          <w:tcPr>
            <w:tcW w:w="795" w:type="dxa"/>
            <w:shd w:val="clear" w:color="auto" w:fill="auto"/>
            <w:vAlign w:val="center"/>
          </w:tcPr>
          <w:p w14:paraId="553DBB56">
            <w:pPr>
              <w:widowControl w:val="0"/>
              <w:spacing w:before="120" w:after="120"/>
              <w:jc w:val="center"/>
              <w:rPr>
                <w:color w:val="000000"/>
                <w:spacing w:val="-6"/>
                <w:sz w:val="16"/>
                <w:szCs w:val="16"/>
                <w:lang w:val="ro-RO"/>
              </w:rPr>
            </w:pPr>
            <w:r>
              <w:rPr>
                <w:color w:val="000000"/>
                <w:spacing w:val="-6"/>
                <w:sz w:val="16"/>
                <w:szCs w:val="16"/>
                <w:lang w:val="ro-RO"/>
              </w:rPr>
              <w:t>bucată</w:t>
            </w:r>
          </w:p>
        </w:tc>
        <w:tc>
          <w:tcPr>
            <w:tcW w:w="1417" w:type="dxa"/>
            <w:shd w:val="clear" w:color="auto" w:fill="auto"/>
            <w:vAlign w:val="center"/>
          </w:tcPr>
          <w:p w14:paraId="3C48B54C">
            <w:pPr>
              <w:widowControl w:val="0"/>
              <w:spacing w:before="120" w:after="120"/>
              <w:jc w:val="center"/>
              <w:rPr>
                <w:color w:val="000000"/>
                <w:spacing w:val="-6"/>
                <w:sz w:val="16"/>
                <w:szCs w:val="16"/>
                <w:lang w:val="ro-RO"/>
              </w:rPr>
            </w:pPr>
            <w:r>
              <w:rPr>
                <w:color w:val="000000"/>
                <w:spacing w:val="-6"/>
                <w:sz w:val="16"/>
                <w:szCs w:val="16"/>
                <w:lang w:val="ro-RO"/>
              </w:rPr>
              <w:t>Municipiul Slobozia, conform repartizării indicată de către Autoritatea Contractantă / specificată în Anexa 1</w:t>
            </w:r>
          </w:p>
        </w:tc>
        <w:tc>
          <w:tcPr>
            <w:tcW w:w="1134" w:type="dxa"/>
            <w:shd w:val="clear" w:color="auto" w:fill="auto"/>
            <w:vAlign w:val="center"/>
          </w:tcPr>
          <w:p w14:paraId="4C600365">
            <w:pPr>
              <w:widowControl w:val="0"/>
              <w:spacing w:before="120" w:after="120"/>
              <w:jc w:val="center"/>
              <w:rPr>
                <w:color w:val="000000"/>
                <w:spacing w:val="-6"/>
                <w:sz w:val="16"/>
                <w:szCs w:val="16"/>
                <w:lang w:val="ro-RO"/>
              </w:rPr>
            </w:pPr>
            <w:r>
              <w:rPr>
                <w:rFonts w:hint="default"/>
                <w:color w:val="auto"/>
                <w:sz w:val="16"/>
                <w:szCs w:val="16"/>
                <w:lang w:val="en-US"/>
              </w:rPr>
              <w:t>1</w:t>
            </w:r>
            <w:r>
              <w:rPr>
                <w:color w:val="auto"/>
                <w:sz w:val="16"/>
                <w:szCs w:val="16"/>
                <w:lang w:val="ro-RO"/>
              </w:rPr>
              <w:t>0 de zile de la data lansării comenzi</w:t>
            </w:r>
          </w:p>
        </w:tc>
        <w:tc>
          <w:tcPr>
            <w:tcW w:w="2835" w:type="dxa"/>
            <w:shd w:val="clear" w:color="auto" w:fill="auto"/>
          </w:tcPr>
          <w:p w14:paraId="1A6F0AEB">
            <w:pPr>
              <w:pStyle w:val="56"/>
              <w:widowControl w:val="0"/>
              <w:numPr>
                <w:ilvl w:val="0"/>
                <w:numId w:val="7"/>
              </w:numPr>
              <w:spacing w:before="120" w:after="120"/>
              <w:ind w:left="140" w:leftChars="0" w:hanging="142" w:firstLineChars="0"/>
              <w:rPr>
                <w:color w:val="000000"/>
                <w:sz w:val="16"/>
                <w:szCs w:val="16"/>
              </w:rPr>
            </w:pPr>
            <w:r>
              <w:rPr>
                <w:color w:val="000000"/>
                <w:sz w:val="16"/>
                <w:szCs w:val="16"/>
              </w:rPr>
              <w:t>Microfon de contact C2 sau C3;</w:t>
            </w:r>
          </w:p>
          <w:p w14:paraId="310288F4">
            <w:pPr>
              <w:pStyle w:val="56"/>
              <w:widowControl w:val="0"/>
              <w:numPr>
                <w:ilvl w:val="0"/>
                <w:numId w:val="7"/>
              </w:numPr>
              <w:spacing w:before="120" w:after="120"/>
              <w:ind w:left="140" w:leftChars="0" w:hanging="142" w:firstLineChars="0"/>
              <w:rPr>
                <w:color w:val="000000"/>
                <w:sz w:val="16"/>
                <w:szCs w:val="16"/>
              </w:rPr>
            </w:pPr>
            <w:r>
              <w:rPr>
                <w:color w:val="000000"/>
                <w:sz w:val="16"/>
                <w:szCs w:val="16"/>
              </w:rPr>
              <w:t>Răspuns în frecvență: 20 Hz – 20kHz</w:t>
            </w:r>
          </w:p>
          <w:p w14:paraId="494CB93B">
            <w:pPr>
              <w:pStyle w:val="56"/>
              <w:widowControl w:val="0"/>
              <w:numPr>
                <w:ilvl w:val="0"/>
                <w:numId w:val="7"/>
              </w:numPr>
              <w:spacing w:before="120" w:after="120"/>
              <w:ind w:left="140" w:leftChars="0" w:hanging="142" w:firstLineChars="0"/>
              <w:rPr>
                <w:color w:val="000000"/>
                <w:sz w:val="16"/>
                <w:szCs w:val="16"/>
              </w:rPr>
            </w:pPr>
            <w:r>
              <w:rPr>
                <w:color w:val="000000"/>
                <w:sz w:val="16"/>
                <w:szCs w:val="16"/>
              </w:rPr>
              <w:t>Sensibilitate: minim 32 decibeli</w:t>
            </w:r>
          </w:p>
          <w:p w14:paraId="1F6AD5F1">
            <w:pPr>
              <w:pStyle w:val="56"/>
              <w:widowControl w:val="0"/>
              <w:numPr>
                <w:ilvl w:val="0"/>
                <w:numId w:val="7"/>
              </w:numPr>
              <w:spacing w:before="120" w:after="120"/>
              <w:ind w:left="140" w:leftChars="0" w:hanging="142" w:firstLineChars="0"/>
              <w:rPr>
                <w:color w:val="000000"/>
                <w:sz w:val="16"/>
                <w:szCs w:val="16"/>
              </w:rPr>
            </w:pPr>
            <w:r>
              <w:rPr>
                <w:color w:val="000000"/>
                <w:sz w:val="16"/>
                <w:szCs w:val="16"/>
              </w:rPr>
              <w:t>Impedanță de ieșire: minim 600 Ω</w:t>
            </w:r>
          </w:p>
          <w:p w14:paraId="609E394B">
            <w:pPr>
              <w:pStyle w:val="56"/>
              <w:widowControl w:val="0"/>
              <w:numPr>
                <w:ilvl w:val="0"/>
                <w:numId w:val="7"/>
              </w:numPr>
              <w:spacing w:before="120" w:after="120"/>
              <w:ind w:left="140" w:leftChars="0" w:hanging="142" w:firstLineChars="0"/>
              <w:rPr>
                <w:color w:val="000000"/>
                <w:sz w:val="16"/>
                <w:szCs w:val="16"/>
              </w:rPr>
            </w:pPr>
            <w:r>
              <w:rPr>
                <w:color w:val="000000"/>
                <w:sz w:val="16"/>
                <w:szCs w:val="16"/>
              </w:rPr>
              <w:t>Montare externă lângă căluș, fără modificări permanente ale instrumentului</w:t>
            </w:r>
          </w:p>
          <w:p w14:paraId="3108DBAC">
            <w:pPr>
              <w:pStyle w:val="56"/>
              <w:widowControl w:val="0"/>
              <w:numPr>
                <w:ilvl w:val="0"/>
                <w:numId w:val="7"/>
              </w:numPr>
              <w:spacing w:before="120" w:after="120"/>
              <w:ind w:left="140" w:leftChars="0" w:hanging="142" w:firstLineChars="0"/>
              <w:rPr>
                <w:color w:val="000000"/>
                <w:sz w:val="16"/>
                <w:szCs w:val="16"/>
              </w:rPr>
            </w:pPr>
            <w:r>
              <w:rPr>
                <w:color w:val="000000"/>
                <w:sz w:val="16"/>
                <w:szCs w:val="16"/>
              </w:rPr>
              <w:t>Alimentare: Phantom power 9-48V;</w:t>
            </w:r>
          </w:p>
          <w:p w14:paraId="3BE01EC4">
            <w:pPr>
              <w:pStyle w:val="56"/>
              <w:widowControl w:val="0"/>
              <w:numPr>
                <w:ilvl w:val="0"/>
                <w:numId w:val="7"/>
              </w:numPr>
              <w:spacing w:before="120" w:after="120"/>
              <w:ind w:left="140" w:leftChars="0" w:hanging="142" w:firstLineChars="0"/>
              <w:rPr>
                <w:color w:val="000000"/>
                <w:sz w:val="16"/>
                <w:szCs w:val="16"/>
              </w:rPr>
            </w:pPr>
            <w:r>
              <w:rPr>
                <w:color w:val="000000"/>
                <w:sz w:val="16"/>
                <w:szCs w:val="16"/>
              </w:rPr>
              <w:t>Conector de intrare: Mini-XLR 3 pini;</w:t>
            </w:r>
          </w:p>
          <w:p w14:paraId="20091168">
            <w:pPr>
              <w:pStyle w:val="56"/>
              <w:widowControl w:val="0"/>
              <w:numPr>
                <w:ilvl w:val="0"/>
                <w:numId w:val="7"/>
              </w:numPr>
              <w:spacing w:before="120" w:after="120"/>
              <w:ind w:left="140" w:leftChars="0" w:hanging="142" w:firstLineChars="0"/>
              <w:rPr>
                <w:color w:val="000000"/>
                <w:sz w:val="16"/>
                <w:szCs w:val="16"/>
              </w:rPr>
            </w:pPr>
            <w:r>
              <w:rPr>
                <w:color w:val="000000"/>
                <w:sz w:val="16"/>
                <w:szCs w:val="16"/>
              </w:rPr>
              <w:t>Conector de ieșire: XLR 3 pini</w:t>
            </w:r>
          </w:p>
          <w:p w14:paraId="16ED9235">
            <w:pPr>
              <w:pStyle w:val="56"/>
              <w:widowControl w:val="0"/>
              <w:numPr>
                <w:ilvl w:val="0"/>
                <w:numId w:val="7"/>
              </w:numPr>
              <w:spacing w:before="120" w:after="120"/>
              <w:ind w:left="140" w:leftChars="0" w:hanging="142" w:firstLineChars="0"/>
              <w:rPr>
                <w:color w:val="000000"/>
                <w:sz w:val="16"/>
                <w:szCs w:val="16"/>
              </w:rPr>
            </w:pPr>
            <w:r>
              <w:rPr>
                <w:color w:val="000000"/>
                <w:sz w:val="16"/>
                <w:szCs w:val="16"/>
              </w:rPr>
              <w:t>Ieșire XLR echilibrată;</w:t>
            </w:r>
          </w:p>
          <w:p w14:paraId="330EC369">
            <w:pPr>
              <w:pStyle w:val="56"/>
              <w:widowControl w:val="0"/>
              <w:numPr>
                <w:ilvl w:val="0"/>
                <w:numId w:val="7"/>
              </w:numPr>
              <w:spacing w:before="120" w:after="120"/>
              <w:ind w:left="140" w:leftChars="0" w:hanging="142" w:firstLineChars="0"/>
              <w:rPr>
                <w:color w:val="000000"/>
                <w:sz w:val="16"/>
                <w:szCs w:val="16"/>
              </w:rPr>
            </w:pPr>
            <w:r>
              <w:rPr>
                <w:color w:val="000000"/>
                <w:sz w:val="16"/>
                <w:szCs w:val="16"/>
              </w:rPr>
              <w:t>Accesorii incluse: cablu de conexiune mini-XLR, pastă adezivă pentru montare, husă de protecție</w:t>
            </w:r>
          </w:p>
        </w:tc>
        <w:tc>
          <w:tcPr>
            <w:tcW w:w="1276" w:type="dxa"/>
            <w:shd w:val="clear" w:color="auto" w:fill="auto"/>
            <w:vAlign w:val="center"/>
          </w:tcPr>
          <w:p w14:paraId="586B69E9">
            <w:pPr>
              <w:widowControl w:val="0"/>
              <w:spacing w:before="120" w:after="120"/>
              <w:jc w:val="center"/>
              <w:rPr>
                <w:color w:val="000000"/>
                <w:spacing w:val="-6"/>
                <w:sz w:val="16"/>
                <w:szCs w:val="16"/>
                <w:lang w:val="ro-RO"/>
              </w:rPr>
            </w:pPr>
            <w:r>
              <w:rPr>
                <w:color w:val="000000"/>
                <w:spacing w:val="-6"/>
                <w:sz w:val="16"/>
                <w:szCs w:val="16"/>
                <w:lang w:val="ro-RO"/>
              </w:rPr>
              <w:t>Nu este cazul</w:t>
            </w:r>
          </w:p>
        </w:tc>
        <w:tc>
          <w:tcPr>
            <w:tcW w:w="1292" w:type="dxa"/>
            <w:vAlign w:val="center"/>
          </w:tcPr>
          <w:p w14:paraId="2BCAF686">
            <w:pPr>
              <w:widowControl w:val="0"/>
              <w:spacing w:before="120" w:after="120"/>
              <w:jc w:val="center"/>
              <w:rPr>
                <w:color w:val="000000"/>
                <w:spacing w:val="-6"/>
                <w:sz w:val="16"/>
                <w:szCs w:val="16"/>
                <w:lang w:val="ro-RO"/>
              </w:rPr>
            </w:pPr>
            <w:r>
              <w:rPr>
                <w:color w:val="000000"/>
                <w:spacing w:val="-6"/>
                <w:sz w:val="16"/>
                <w:szCs w:val="16"/>
                <w:lang w:val="ro-RO"/>
              </w:rPr>
              <w:t>Minim 36 luni</w:t>
            </w:r>
          </w:p>
        </w:tc>
      </w:tr>
      <w:tr w14:paraId="7708B38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19E66436">
            <w:pPr>
              <w:widowControl w:val="0"/>
              <w:spacing w:before="120" w:after="120"/>
              <w:jc w:val="center"/>
              <w:rPr>
                <w:bCs/>
                <w:iCs/>
                <w:spacing w:val="-6"/>
                <w:sz w:val="16"/>
                <w:szCs w:val="16"/>
                <w:lang w:val="ro-RO"/>
              </w:rPr>
            </w:pPr>
            <w:r>
              <w:rPr>
                <w:color w:val="000000"/>
                <w:sz w:val="16"/>
                <w:szCs w:val="16"/>
                <w:lang w:val="ro-RO"/>
              </w:rPr>
              <w:t>Sistem wireless chitară</w:t>
            </w:r>
          </w:p>
        </w:tc>
        <w:tc>
          <w:tcPr>
            <w:tcW w:w="891" w:type="dxa"/>
            <w:vAlign w:val="center"/>
          </w:tcPr>
          <w:p w14:paraId="369F2E4E">
            <w:pPr>
              <w:widowControl w:val="0"/>
              <w:spacing w:before="120" w:after="120"/>
              <w:jc w:val="center"/>
              <w:rPr>
                <w:bCs/>
                <w:i/>
                <w:iCs/>
                <w:spacing w:val="-6"/>
                <w:sz w:val="16"/>
                <w:szCs w:val="16"/>
                <w:lang w:val="ro-RO"/>
              </w:rPr>
            </w:pPr>
            <w:r>
              <w:rPr>
                <w:b/>
                <w:bCs/>
                <w:color w:val="000000"/>
                <w:sz w:val="16"/>
                <w:szCs w:val="16"/>
                <w:lang w:val="ro-RO"/>
              </w:rPr>
              <w:t>2</w:t>
            </w:r>
          </w:p>
        </w:tc>
        <w:tc>
          <w:tcPr>
            <w:tcW w:w="795" w:type="dxa"/>
            <w:shd w:val="clear" w:color="auto" w:fill="auto"/>
            <w:vAlign w:val="center"/>
          </w:tcPr>
          <w:p w14:paraId="13C03324">
            <w:pPr>
              <w:widowControl w:val="0"/>
              <w:spacing w:before="120" w:after="120"/>
              <w:jc w:val="center"/>
              <w:rPr>
                <w:color w:val="000000"/>
                <w:spacing w:val="-6"/>
                <w:sz w:val="16"/>
                <w:szCs w:val="16"/>
                <w:lang w:val="ro-RO"/>
              </w:rPr>
            </w:pPr>
            <w:r>
              <w:rPr>
                <w:color w:val="000000"/>
                <w:spacing w:val="-6"/>
                <w:sz w:val="16"/>
                <w:szCs w:val="16"/>
                <w:lang w:val="ro-RO"/>
              </w:rPr>
              <w:t>bucată</w:t>
            </w:r>
          </w:p>
        </w:tc>
        <w:tc>
          <w:tcPr>
            <w:tcW w:w="1417" w:type="dxa"/>
            <w:shd w:val="clear" w:color="auto" w:fill="auto"/>
            <w:vAlign w:val="center"/>
          </w:tcPr>
          <w:p w14:paraId="4F76A686">
            <w:pPr>
              <w:widowControl w:val="0"/>
              <w:spacing w:before="120" w:after="120"/>
              <w:jc w:val="center"/>
              <w:rPr>
                <w:color w:val="000000"/>
                <w:spacing w:val="-6"/>
                <w:sz w:val="16"/>
                <w:szCs w:val="16"/>
                <w:lang w:val="ro-RO"/>
              </w:rPr>
            </w:pPr>
            <w:r>
              <w:rPr>
                <w:color w:val="000000"/>
                <w:spacing w:val="-6"/>
                <w:sz w:val="16"/>
                <w:szCs w:val="16"/>
                <w:lang w:val="ro-RO"/>
              </w:rPr>
              <w:t>Municipiul Slobozia, conform repartizării indicată de către Autoritatea Contractantă / specificată în Anexa 1</w:t>
            </w:r>
          </w:p>
        </w:tc>
        <w:tc>
          <w:tcPr>
            <w:tcW w:w="1134" w:type="dxa"/>
            <w:shd w:val="clear" w:color="auto" w:fill="auto"/>
            <w:vAlign w:val="center"/>
          </w:tcPr>
          <w:p w14:paraId="15DF303C">
            <w:pPr>
              <w:widowControl w:val="0"/>
              <w:spacing w:before="120" w:after="120"/>
              <w:jc w:val="center"/>
              <w:rPr>
                <w:color w:val="000000"/>
                <w:spacing w:val="-6"/>
                <w:sz w:val="16"/>
                <w:szCs w:val="16"/>
                <w:lang w:val="ro-RO"/>
              </w:rPr>
            </w:pPr>
            <w:r>
              <w:rPr>
                <w:rFonts w:hint="default"/>
                <w:color w:val="auto"/>
                <w:sz w:val="16"/>
                <w:szCs w:val="16"/>
                <w:lang w:val="en-US"/>
              </w:rPr>
              <w:t>1</w:t>
            </w:r>
            <w:r>
              <w:rPr>
                <w:color w:val="auto"/>
                <w:sz w:val="16"/>
                <w:szCs w:val="16"/>
                <w:lang w:val="ro-RO"/>
              </w:rPr>
              <w:t>0 de zile de la data lansării comenzi</w:t>
            </w:r>
          </w:p>
        </w:tc>
        <w:tc>
          <w:tcPr>
            <w:tcW w:w="2835" w:type="dxa"/>
            <w:shd w:val="clear" w:color="auto" w:fill="auto"/>
          </w:tcPr>
          <w:p w14:paraId="2E4A2133">
            <w:pPr>
              <w:pStyle w:val="56"/>
              <w:widowControl w:val="0"/>
              <w:numPr>
                <w:ilvl w:val="0"/>
                <w:numId w:val="7"/>
              </w:numPr>
              <w:spacing w:before="120" w:after="120"/>
              <w:ind w:left="140" w:leftChars="0" w:hanging="142" w:firstLineChars="0"/>
              <w:rPr>
                <w:color w:val="000000"/>
                <w:sz w:val="16"/>
                <w:szCs w:val="16"/>
              </w:rPr>
            </w:pPr>
            <w:r>
              <w:rPr>
                <w:color w:val="000000"/>
                <w:sz w:val="16"/>
                <w:szCs w:val="16"/>
              </w:rPr>
              <w:t>Frecvența de operare: minim 5,8 Hz;</w:t>
            </w:r>
          </w:p>
          <w:p w14:paraId="6CE86C3A">
            <w:pPr>
              <w:pStyle w:val="56"/>
              <w:widowControl w:val="0"/>
              <w:numPr>
                <w:ilvl w:val="0"/>
                <w:numId w:val="7"/>
              </w:numPr>
              <w:spacing w:before="120" w:after="120"/>
              <w:ind w:left="140" w:leftChars="0" w:hanging="142" w:firstLineChars="0"/>
              <w:rPr>
                <w:color w:val="000000"/>
                <w:sz w:val="16"/>
                <w:szCs w:val="16"/>
              </w:rPr>
            </w:pPr>
            <w:r>
              <w:rPr>
                <w:color w:val="000000"/>
                <w:sz w:val="16"/>
                <w:szCs w:val="16"/>
              </w:rPr>
              <w:t>Distanță de operare: minim 25 metri;</w:t>
            </w:r>
          </w:p>
          <w:p w14:paraId="2B8CF0F2">
            <w:pPr>
              <w:pStyle w:val="56"/>
              <w:widowControl w:val="0"/>
              <w:numPr>
                <w:ilvl w:val="0"/>
                <w:numId w:val="7"/>
              </w:numPr>
              <w:spacing w:before="120" w:after="120"/>
              <w:ind w:left="140" w:leftChars="0" w:hanging="142" w:firstLineChars="0"/>
              <w:rPr>
                <w:color w:val="000000"/>
                <w:sz w:val="16"/>
                <w:szCs w:val="16"/>
              </w:rPr>
            </w:pPr>
            <w:r>
              <w:rPr>
                <w:color w:val="000000"/>
                <w:sz w:val="16"/>
                <w:szCs w:val="16"/>
              </w:rPr>
              <w:t>Răspuns în frecvență: 20 Hz – 20 kHz (-3 dB)</w:t>
            </w:r>
          </w:p>
          <w:p w14:paraId="590441C3">
            <w:pPr>
              <w:pStyle w:val="56"/>
              <w:widowControl w:val="0"/>
              <w:numPr>
                <w:ilvl w:val="0"/>
                <w:numId w:val="7"/>
              </w:numPr>
              <w:spacing w:before="120" w:after="120"/>
              <w:ind w:left="140" w:leftChars="0" w:hanging="142" w:firstLineChars="0"/>
              <w:rPr>
                <w:color w:val="000000"/>
                <w:sz w:val="16"/>
                <w:szCs w:val="16"/>
              </w:rPr>
            </w:pPr>
            <w:r>
              <w:rPr>
                <w:color w:val="000000"/>
                <w:sz w:val="16"/>
                <w:szCs w:val="16"/>
              </w:rPr>
              <w:t>Durata de viață a bateriei: minim 4 ore</w:t>
            </w:r>
          </w:p>
          <w:p w14:paraId="135BCB7B">
            <w:pPr>
              <w:pStyle w:val="56"/>
              <w:widowControl w:val="0"/>
              <w:numPr>
                <w:ilvl w:val="0"/>
                <w:numId w:val="7"/>
              </w:numPr>
              <w:spacing w:before="120" w:after="120"/>
              <w:ind w:left="140" w:leftChars="0" w:hanging="142" w:firstLineChars="0"/>
              <w:rPr>
                <w:color w:val="000000"/>
                <w:sz w:val="16"/>
                <w:szCs w:val="16"/>
              </w:rPr>
            </w:pPr>
            <w:r>
              <w:rPr>
                <w:color w:val="000000"/>
                <w:sz w:val="16"/>
                <w:szCs w:val="16"/>
              </w:rPr>
              <w:t>Tip baterie: Li-ion reîncărcabilă, 3,8V, 780 mA, integrată</w:t>
            </w:r>
          </w:p>
          <w:p w14:paraId="4399E7E7">
            <w:pPr>
              <w:pStyle w:val="56"/>
              <w:widowControl w:val="0"/>
              <w:numPr>
                <w:ilvl w:val="0"/>
                <w:numId w:val="7"/>
              </w:numPr>
              <w:spacing w:before="120" w:after="120"/>
              <w:ind w:left="140" w:leftChars="0" w:hanging="142" w:firstLineChars="0"/>
              <w:rPr>
                <w:color w:val="000000"/>
                <w:sz w:val="16"/>
                <w:szCs w:val="16"/>
              </w:rPr>
            </w:pPr>
            <w:r>
              <w:rPr>
                <w:color w:val="000000"/>
                <w:sz w:val="16"/>
                <w:szCs w:val="16"/>
              </w:rPr>
              <w:t>Sensibilitate RF: minim -90 dBm;</w:t>
            </w:r>
          </w:p>
          <w:p w14:paraId="026267EE">
            <w:pPr>
              <w:pStyle w:val="56"/>
              <w:widowControl w:val="0"/>
              <w:numPr>
                <w:ilvl w:val="0"/>
                <w:numId w:val="7"/>
              </w:numPr>
              <w:spacing w:before="120" w:after="120"/>
              <w:ind w:left="140" w:leftChars="0" w:hanging="142" w:firstLineChars="0"/>
              <w:rPr>
                <w:color w:val="000000"/>
                <w:sz w:val="16"/>
                <w:szCs w:val="16"/>
              </w:rPr>
            </w:pPr>
            <w:r>
              <w:rPr>
                <w:color w:val="000000"/>
                <w:sz w:val="16"/>
                <w:szCs w:val="16"/>
              </w:rPr>
              <w:t>Distorsiune armonică totală: maxim 0,1%</w:t>
            </w:r>
          </w:p>
          <w:p w14:paraId="1439D53A">
            <w:pPr>
              <w:pStyle w:val="56"/>
              <w:widowControl w:val="0"/>
              <w:numPr>
                <w:ilvl w:val="0"/>
                <w:numId w:val="7"/>
              </w:numPr>
              <w:spacing w:before="120" w:after="120"/>
              <w:ind w:left="140" w:leftChars="0" w:hanging="142" w:firstLineChars="0"/>
              <w:rPr>
                <w:color w:val="000000"/>
                <w:sz w:val="16"/>
                <w:szCs w:val="16"/>
              </w:rPr>
            </w:pPr>
            <w:r>
              <w:rPr>
                <w:color w:val="000000"/>
                <w:sz w:val="16"/>
                <w:szCs w:val="16"/>
              </w:rPr>
              <w:t>Număr de canale: minim 5</w:t>
            </w:r>
          </w:p>
          <w:p w14:paraId="09B5DBA8">
            <w:pPr>
              <w:pStyle w:val="56"/>
              <w:widowControl w:val="0"/>
              <w:numPr>
                <w:ilvl w:val="0"/>
                <w:numId w:val="7"/>
              </w:numPr>
              <w:spacing w:before="120" w:after="120"/>
              <w:ind w:left="140" w:leftChars="0" w:hanging="142" w:firstLineChars="0"/>
              <w:rPr>
                <w:color w:val="000000"/>
                <w:sz w:val="16"/>
                <w:szCs w:val="16"/>
              </w:rPr>
            </w:pPr>
            <w:r>
              <w:rPr>
                <w:color w:val="000000"/>
                <w:sz w:val="16"/>
                <w:szCs w:val="16"/>
              </w:rPr>
              <w:t>Domeniu dinamic: minim 110 dB</w:t>
            </w:r>
          </w:p>
          <w:p w14:paraId="20B86E63">
            <w:pPr>
              <w:pStyle w:val="56"/>
              <w:widowControl w:val="0"/>
              <w:numPr>
                <w:ilvl w:val="0"/>
                <w:numId w:val="7"/>
              </w:numPr>
              <w:spacing w:before="120" w:after="120"/>
              <w:ind w:left="140" w:leftChars="0" w:hanging="142" w:firstLineChars="0"/>
              <w:rPr>
                <w:color w:val="000000"/>
                <w:sz w:val="16"/>
                <w:szCs w:val="16"/>
              </w:rPr>
            </w:pPr>
            <w:r>
              <w:rPr>
                <w:color w:val="000000"/>
                <w:sz w:val="16"/>
                <w:szCs w:val="16"/>
              </w:rPr>
              <w:t>Latență: maxim 5ms</w:t>
            </w:r>
          </w:p>
          <w:p w14:paraId="5E6F81D6">
            <w:pPr>
              <w:pStyle w:val="56"/>
              <w:widowControl w:val="0"/>
              <w:numPr>
                <w:ilvl w:val="0"/>
                <w:numId w:val="7"/>
              </w:numPr>
              <w:spacing w:before="120" w:after="120"/>
              <w:ind w:left="140" w:leftChars="0" w:hanging="142" w:firstLineChars="0"/>
              <w:rPr>
                <w:color w:val="000000"/>
                <w:sz w:val="16"/>
                <w:szCs w:val="16"/>
              </w:rPr>
            </w:pPr>
            <w:r>
              <w:rPr>
                <w:color w:val="000000"/>
                <w:sz w:val="16"/>
                <w:szCs w:val="16"/>
              </w:rPr>
              <w:t>Conector de Ieșire / Jack de Intrare Necesare: 1/4" / 6,5 mm T</w:t>
            </w:r>
          </w:p>
          <w:p w14:paraId="76D4DF95">
            <w:pPr>
              <w:pStyle w:val="56"/>
              <w:widowControl w:val="0"/>
              <w:numPr>
                <w:ilvl w:val="0"/>
                <w:numId w:val="7"/>
              </w:numPr>
              <w:spacing w:before="120" w:after="120"/>
              <w:ind w:left="140" w:leftChars="0" w:hanging="142" w:firstLineChars="0"/>
              <w:rPr>
                <w:color w:val="000000"/>
                <w:sz w:val="16"/>
                <w:szCs w:val="16"/>
              </w:rPr>
            </w:pPr>
            <w:r>
              <w:rPr>
                <w:color w:val="000000"/>
                <w:sz w:val="16"/>
                <w:szCs w:val="16"/>
              </w:rPr>
              <w:t>Dimensiuni aproximative: 65 mm x 37 mm x 28 mm (+/-10%)</w:t>
            </w:r>
          </w:p>
          <w:p w14:paraId="5F924619">
            <w:pPr>
              <w:pStyle w:val="56"/>
              <w:widowControl w:val="0"/>
              <w:numPr>
                <w:ilvl w:val="0"/>
                <w:numId w:val="7"/>
              </w:numPr>
              <w:spacing w:before="120" w:after="120"/>
              <w:ind w:left="140" w:leftChars="0" w:hanging="142" w:firstLineChars="0"/>
              <w:rPr>
                <w:color w:val="000000"/>
                <w:sz w:val="16"/>
                <w:szCs w:val="16"/>
              </w:rPr>
            </w:pPr>
            <w:r>
              <w:rPr>
                <w:color w:val="000000"/>
                <w:sz w:val="16"/>
                <w:szCs w:val="16"/>
              </w:rPr>
              <w:t>Accesorii incluse: transmițător, receptor, cablu USB-C pentru încărcare, husă de protecție.</w:t>
            </w:r>
          </w:p>
        </w:tc>
        <w:tc>
          <w:tcPr>
            <w:tcW w:w="1276" w:type="dxa"/>
            <w:shd w:val="clear" w:color="auto" w:fill="auto"/>
            <w:vAlign w:val="center"/>
          </w:tcPr>
          <w:p w14:paraId="09980760">
            <w:pPr>
              <w:widowControl w:val="0"/>
              <w:spacing w:before="120" w:after="120"/>
              <w:jc w:val="center"/>
              <w:rPr>
                <w:i/>
                <w:iCs/>
                <w:color w:val="000000"/>
                <w:spacing w:val="-6"/>
                <w:sz w:val="16"/>
                <w:szCs w:val="16"/>
                <w:lang w:val="ro-RO"/>
              </w:rPr>
            </w:pPr>
            <w:r>
              <w:rPr>
                <w:color w:val="000000"/>
                <w:spacing w:val="-6"/>
                <w:sz w:val="16"/>
                <w:szCs w:val="16"/>
                <w:lang w:val="ro-RO"/>
              </w:rPr>
              <w:t>Nu este cazul</w:t>
            </w:r>
          </w:p>
        </w:tc>
        <w:tc>
          <w:tcPr>
            <w:tcW w:w="1292" w:type="dxa"/>
            <w:vAlign w:val="center"/>
          </w:tcPr>
          <w:p w14:paraId="285F9CA2">
            <w:pPr>
              <w:widowControl w:val="0"/>
              <w:spacing w:before="120" w:after="120"/>
              <w:jc w:val="center"/>
              <w:rPr>
                <w:color w:val="000000"/>
                <w:spacing w:val="-6"/>
                <w:sz w:val="16"/>
                <w:szCs w:val="16"/>
                <w:lang w:val="ro-RO"/>
              </w:rPr>
            </w:pPr>
            <w:r>
              <w:rPr>
                <w:color w:val="000000"/>
                <w:spacing w:val="-6"/>
                <w:sz w:val="16"/>
                <w:szCs w:val="16"/>
                <w:lang w:val="ro-RO"/>
              </w:rPr>
              <w:t>Minim 36 luni</w:t>
            </w:r>
          </w:p>
        </w:tc>
      </w:tr>
      <w:tr w14:paraId="4CA44F4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23DB9F6E">
            <w:pPr>
              <w:widowControl w:val="0"/>
              <w:spacing w:before="120" w:after="120"/>
              <w:jc w:val="center"/>
              <w:rPr>
                <w:bCs/>
                <w:iCs/>
                <w:spacing w:val="-6"/>
                <w:sz w:val="16"/>
                <w:szCs w:val="16"/>
                <w:lang w:val="ro-RO"/>
              </w:rPr>
            </w:pPr>
            <w:r>
              <w:rPr>
                <w:color w:val="000000"/>
                <w:sz w:val="16"/>
                <w:szCs w:val="16"/>
                <w:lang w:val="ro-RO"/>
              </w:rPr>
              <w:t>Set tobe acustice</w:t>
            </w:r>
          </w:p>
        </w:tc>
        <w:tc>
          <w:tcPr>
            <w:tcW w:w="891" w:type="dxa"/>
            <w:vAlign w:val="center"/>
          </w:tcPr>
          <w:p w14:paraId="3B7FF5BC">
            <w:pPr>
              <w:widowControl w:val="0"/>
              <w:spacing w:before="120" w:after="120"/>
              <w:jc w:val="center"/>
              <w:rPr>
                <w:bCs/>
                <w:i/>
                <w:iCs/>
                <w:spacing w:val="-6"/>
                <w:sz w:val="16"/>
                <w:szCs w:val="16"/>
                <w:lang w:val="ro-RO"/>
              </w:rPr>
            </w:pPr>
            <w:r>
              <w:rPr>
                <w:b/>
                <w:bCs/>
                <w:color w:val="000000"/>
                <w:sz w:val="16"/>
                <w:szCs w:val="16"/>
                <w:lang w:val="ro-RO"/>
              </w:rPr>
              <w:t>1</w:t>
            </w:r>
          </w:p>
        </w:tc>
        <w:tc>
          <w:tcPr>
            <w:tcW w:w="795" w:type="dxa"/>
            <w:shd w:val="clear" w:color="auto" w:fill="auto"/>
            <w:vAlign w:val="center"/>
          </w:tcPr>
          <w:p w14:paraId="3702FEAB">
            <w:pPr>
              <w:widowControl w:val="0"/>
              <w:spacing w:before="120" w:after="120"/>
              <w:jc w:val="center"/>
              <w:rPr>
                <w:color w:val="000000"/>
                <w:spacing w:val="-6"/>
                <w:sz w:val="16"/>
                <w:szCs w:val="16"/>
                <w:lang w:val="ro-RO"/>
              </w:rPr>
            </w:pPr>
            <w:r>
              <w:rPr>
                <w:color w:val="000000"/>
                <w:spacing w:val="-6"/>
                <w:sz w:val="16"/>
                <w:szCs w:val="16"/>
                <w:lang w:val="ro-RO"/>
              </w:rPr>
              <w:t>bucată</w:t>
            </w:r>
          </w:p>
        </w:tc>
        <w:tc>
          <w:tcPr>
            <w:tcW w:w="1417" w:type="dxa"/>
            <w:shd w:val="clear" w:color="auto" w:fill="auto"/>
            <w:vAlign w:val="center"/>
          </w:tcPr>
          <w:p w14:paraId="08F0CA01">
            <w:pPr>
              <w:widowControl w:val="0"/>
              <w:spacing w:before="120" w:after="120"/>
              <w:jc w:val="center"/>
              <w:rPr>
                <w:color w:val="000000"/>
                <w:spacing w:val="-6"/>
                <w:sz w:val="16"/>
                <w:szCs w:val="16"/>
                <w:lang w:val="ro-RO"/>
              </w:rPr>
            </w:pPr>
            <w:r>
              <w:rPr>
                <w:color w:val="000000"/>
                <w:spacing w:val="-6"/>
                <w:sz w:val="16"/>
                <w:szCs w:val="16"/>
                <w:lang w:val="ro-RO"/>
              </w:rPr>
              <w:t>Municipiul Slobozia, conform repartizării indicată de către Autoritatea Contractantă / specificată în Anexa 1</w:t>
            </w:r>
          </w:p>
        </w:tc>
        <w:tc>
          <w:tcPr>
            <w:tcW w:w="1134" w:type="dxa"/>
            <w:shd w:val="clear" w:color="auto" w:fill="auto"/>
            <w:vAlign w:val="center"/>
          </w:tcPr>
          <w:p w14:paraId="188240B6">
            <w:pPr>
              <w:widowControl w:val="0"/>
              <w:spacing w:before="120" w:after="120"/>
              <w:jc w:val="center"/>
              <w:rPr>
                <w:color w:val="000000"/>
                <w:spacing w:val="-6"/>
                <w:sz w:val="16"/>
                <w:szCs w:val="16"/>
                <w:lang w:val="ro-RO"/>
              </w:rPr>
            </w:pPr>
            <w:r>
              <w:rPr>
                <w:rFonts w:hint="default"/>
                <w:color w:val="auto"/>
                <w:sz w:val="16"/>
                <w:szCs w:val="16"/>
                <w:lang w:val="en-US"/>
              </w:rPr>
              <w:t>1</w:t>
            </w:r>
            <w:r>
              <w:rPr>
                <w:color w:val="auto"/>
                <w:sz w:val="16"/>
                <w:szCs w:val="16"/>
                <w:lang w:val="ro-RO"/>
              </w:rPr>
              <w:t>0 de zile de la data lansării comenzi</w:t>
            </w:r>
          </w:p>
        </w:tc>
        <w:tc>
          <w:tcPr>
            <w:tcW w:w="2835" w:type="dxa"/>
            <w:shd w:val="clear" w:color="auto" w:fill="auto"/>
          </w:tcPr>
          <w:p w14:paraId="57F9505F">
            <w:pPr>
              <w:pStyle w:val="56"/>
              <w:widowControl w:val="0"/>
              <w:numPr>
                <w:ilvl w:val="0"/>
                <w:numId w:val="7"/>
              </w:numPr>
              <w:spacing w:before="120" w:after="120"/>
              <w:ind w:left="140" w:leftChars="0" w:hanging="142" w:firstLineChars="0"/>
              <w:rPr>
                <w:color w:val="000000"/>
                <w:sz w:val="16"/>
                <w:szCs w:val="16"/>
              </w:rPr>
            </w:pPr>
            <w:r>
              <w:rPr>
                <w:color w:val="000000"/>
                <w:sz w:val="16"/>
                <w:szCs w:val="16"/>
              </w:rPr>
              <w:t>Set compus din următoarele elemente pentru care se permite o toleranță de +-/- 10% față de dimensiunile indicate:</w:t>
            </w:r>
          </w:p>
          <w:p w14:paraId="128D2694">
            <w:pPr>
              <w:pStyle w:val="56"/>
              <w:widowControl w:val="0"/>
              <w:numPr>
                <w:ilvl w:val="1"/>
                <w:numId w:val="7"/>
              </w:numPr>
              <w:spacing w:before="120" w:after="120"/>
              <w:ind w:left="322" w:hanging="142"/>
              <w:rPr>
                <w:color w:val="000000"/>
                <w:sz w:val="16"/>
                <w:szCs w:val="16"/>
              </w:rPr>
            </w:pPr>
            <w:r>
              <w:rPr>
                <w:color w:val="000000"/>
                <w:sz w:val="16"/>
                <w:szCs w:val="16"/>
              </w:rPr>
              <w:t>1 Tobă mare 18" x 14", sunet profund, puternic;</w:t>
            </w:r>
          </w:p>
          <w:p w14:paraId="4C0DBBFB">
            <w:pPr>
              <w:pStyle w:val="56"/>
              <w:widowControl w:val="0"/>
              <w:numPr>
                <w:ilvl w:val="1"/>
                <w:numId w:val="7"/>
              </w:numPr>
              <w:spacing w:before="120" w:after="120"/>
              <w:ind w:left="322" w:hanging="142"/>
              <w:rPr>
                <w:color w:val="000000"/>
                <w:sz w:val="16"/>
                <w:szCs w:val="16"/>
              </w:rPr>
            </w:pPr>
            <w:r>
              <w:rPr>
                <w:color w:val="000000"/>
                <w:sz w:val="16"/>
                <w:szCs w:val="16"/>
              </w:rPr>
              <w:t>2 Tomuri suspendate 10" x 7" și 12" x 8",  tonuri medii;</w:t>
            </w:r>
          </w:p>
          <w:p w14:paraId="45F15936">
            <w:pPr>
              <w:pStyle w:val="56"/>
              <w:widowControl w:val="0"/>
              <w:numPr>
                <w:ilvl w:val="1"/>
                <w:numId w:val="7"/>
              </w:numPr>
              <w:spacing w:before="120" w:after="120"/>
              <w:ind w:left="322" w:hanging="142"/>
              <w:rPr>
                <w:color w:val="000000"/>
                <w:sz w:val="16"/>
                <w:szCs w:val="16"/>
              </w:rPr>
            </w:pPr>
            <w:r>
              <w:rPr>
                <w:color w:val="000000"/>
                <w:sz w:val="16"/>
                <w:szCs w:val="16"/>
              </w:rPr>
              <w:t>1 tom de podea 14" x 12", tonuri joase;</w:t>
            </w:r>
          </w:p>
          <w:p w14:paraId="56F83BF7">
            <w:pPr>
              <w:pStyle w:val="56"/>
              <w:widowControl w:val="0"/>
              <w:numPr>
                <w:ilvl w:val="1"/>
                <w:numId w:val="7"/>
              </w:numPr>
              <w:spacing w:before="120" w:after="120"/>
              <w:ind w:left="322" w:hanging="142"/>
              <w:rPr>
                <w:color w:val="000000"/>
                <w:sz w:val="16"/>
                <w:szCs w:val="16"/>
              </w:rPr>
            </w:pPr>
            <w:r>
              <w:rPr>
                <w:color w:val="000000"/>
                <w:sz w:val="16"/>
                <w:szCs w:val="16"/>
              </w:rPr>
              <w:t>1 tobă mică 13" x 5", sunete clare, articulate</w:t>
            </w:r>
          </w:p>
          <w:p w14:paraId="0C215A49">
            <w:pPr>
              <w:pStyle w:val="56"/>
              <w:widowControl w:val="0"/>
              <w:numPr>
                <w:ilvl w:val="0"/>
                <w:numId w:val="7"/>
              </w:numPr>
              <w:spacing w:before="120" w:after="120"/>
              <w:ind w:left="140" w:leftChars="0" w:hanging="142" w:firstLineChars="0"/>
              <w:rPr>
                <w:color w:val="000000"/>
                <w:sz w:val="16"/>
                <w:szCs w:val="16"/>
              </w:rPr>
            </w:pPr>
            <w:r>
              <w:rPr>
                <w:color w:val="000000"/>
                <w:sz w:val="16"/>
                <w:szCs w:val="16"/>
              </w:rPr>
              <w:t>Materialul Corpului (Shell): 9 straturi de plop, grosime de 7,2 mm;</w:t>
            </w:r>
          </w:p>
          <w:p w14:paraId="7691570B">
            <w:pPr>
              <w:pStyle w:val="56"/>
              <w:widowControl w:val="0"/>
              <w:numPr>
                <w:ilvl w:val="0"/>
                <w:numId w:val="7"/>
              </w:numPr>
              <w:spacing w:before="120" w:after="120"/>
              <w:ind w:left="140" w:leftChars="0" w:hanging="142" w:firstLineChars="0"/>
              <w:rPr>
                <w:color w:val="000000"/>
                <w:sz w:val="16"/>
                <w:szCs w:val="16"/>
              </w:rPr>
            </w:pPr>
            <w:r>
              <w:rPr>
                <w:color w:val="000000"/>
                <w:sz w:val="16"/>
                <w:szCs w:val="16"/>
              </w:rPr>
              <w:t>Finisaj: Infra Red (IR);</w:t>
            </w:r>
          </w:p>
          <w:p w14:paraId="40C52780">
            <w:pPr>
              <w:pStyle w:val="56"/>
              <w:widowControl w:val="0"/>
              <w:numPr>
                <w:ilvl w:val="0"/>
                <w:numId w:val="7"/>
              </w:numPr>
              <w:spacing w:before="120" w:after="120"/>
              <w:ind w:left="140" w:leftChars="0" w:hanging="142" w:firstLineChars="0"/>
              <w:rPr>
                <w:color w:val="000000"/>
                <w:sz w:val="16"/>
                <w:szCs w:val="16"/>
              </w:rPr>
            </w:pPr>
            <w:r>
              <w:rPr>
                <w:color w:val="000000"/>
                <w:sz w:val="16"/>
                <w:szCs w:val="16"/>
              </w:rPr>
              <w:t>Suport pentru montarea tomurilor;</w:t>
            </w:r>
          </w:p>
          <w:p w14:paraId="66891F8E">
            <w:pPr>
              <w:pStyle w:val="56"/>
              <w:widowControl w:val="0"/>
              <w:numPr>
                <w:ilvl w:val="0"/>
                <w:numId w:val="7"/>
              </w:numPr>
              <w:spacing w:before="120" w:after="120"/>
              <w:ind w:left="140" w:leftChars="0" w:hanging="142" w:firstLineChars="0"/>
              <w:rPr>
                <w:color w:val="000000"/>
                <w:sz w:val="16"/>
                <w:szCs w:val="16"/>
              </w:rPr>
            </w:pPr>
            <w:r>
              <w:rPr>
                <w:color w:val="000000"/>
                <w:sz w:val="16"/>
                <w:szCs w:val="16"/>
              </w:rPr>
              <w:t>Suport pentru cinele;</w:t>
            </w:r>
          </w:p>
          <w:p w14:paraId="358C846C">
            <w:pPr>
              <w:pStyle w:val="56"/>
              <w:widowControl w:val="0"/>
              <w:numPr>
                <w:ilvl w:val="0"/>
                <w:numId w:val="7"/>
              </w:numPr>
              <w:spacing w:before="120" w:after="120"/>
              <w:ind w:left="140" w:leftChars="0" w:hanging="142" w:firstLineChars="0"/>
              <w:rPr>
                <w:color w:val="000000"/>
                <w:sz w:val="16"/>
                <w:szCs w:val="16"/>
              </w:rPr>
            </w:pPr>
            <w:r>
              <w:rPr>
                <w:color w:val="000000"/>
                <w:sz w:val="16"/>
                <w:szCs w:val="16"/>
              </w:rPr>
              <w:t>Suport pentru toba mică;</w:t>
            </w:r>
          </w:p>
          <w:p w14:paraId="6AC0E40C">
            <w:pPr>
              <w:pStyle w:val="56"/>
              <w:widowControl w:val="0"/>
              <w:numPr>
                <w:ilvl w:val="0"/>
                <w:numId w:val="7"/>
              </w:numPr>
              <w:spacing w:before="120" w:after="120"/>
              <w:ind w:left="140" w:leftChars="0" w:hanging="142" w:firstLineChars="0"/>
              <w:rPr>
                <w:color w:val="000000"/>
                <w:sz w:val="16"/>
                <w:szCs w:val="16"/>
              </w:rPr>
            </w:pPr>
            <w:r>
              <w:rPr>
                <w:color w:val="000000"/>
                <w:sz w:val="16"/>
                <w:szCs w:val="16"/>
              </w:rPr>
              <w:t>Suport pentru toba mare;</w:t>
            </w:r>
          </w:p>
          <w:p w14:paraId="04F97EC6">
            <w:pPr>
              <w:pStyle w:val="56"/>
              <w:widowControl w:val="0"/>
              <w:numPr>
                <w:ilvl w:val="0"/>
                <w:numId w:val="7"/>
              </w:numPr>
              <w:spacing w:before="120" w:after="120"/>
              <w:ind w:left="140" w:leftChars="0" w:hanging="142" w:firstLineChars="0"/>
              <w:rPr>
                <w:color w:val="000000"/>
                <w:sz w:val="16"/>
                <w:szCs w:val="16"/>
              </w:rPr>
            </w:pPr>
            <w:r>
              <w:rPr>
                <w:color w:val="000000"/>
                <w:sz w:val="16"/>
                <w:szCs w:val="16"/>
              </w:rPr>
              <w:t>Suport pentru Hi-hat;</w:t>
            </w:r>
          </w:p>
          <w:p w14:paraId="7281204F">
            <w:pPr>
              <w:pStyle w:val="56"/>
              <w:widowControl w:val="0"/>
              <w:numPr>
                <w:ilvl w:val="0"/>
                <w:numId w:val="7"/>
              </w:numPr>
              <w:spacing w:before="120" w:after="120"/>
              <w:ind w:left="140" w:leftChars="0" w:hanging="142" w:firstLineChars="0"/>
              <w:rPr>
                <w:color w:val="000000"/>
                <w:sz w:val="16"/>
                <w:szCs w:val="16"/>
              </w:rPr>
            </w:pPr>
            <w:r>
              <w:rPr>
                <w:color w:val="000000"/>
                <w:sz w:val="16"/>
                <w:szCs w:val="16"/>
              </w:rPr>
              <w:t>Scaun (Throne)</w:t>
            </w:r>
          </w:p>
          <w:p w14:paraId="5EC1613F">
            <w:pPr>
              <w:pStyle w:val="56"/>
              <w:widowControl w:val="0"/>
              <w:numPr>
                <w:ilvl w:val="0"/>
                <w:numId w:val="7"/>
              </w:numPr>
              <w:spacing w:before="120" w:after="120"/>
              <w:ind w:left="140" w:leftChars="0" w:hanging="142" w:firstLineChars="0"/>
              <w:rPr>
                <w:color w:val="000000"/>
                <w:sz w:val="16"/>
                <w:szCs w:val="16"/>
              </w:rPr>
            </w:pPr>
            <w:r>
              <w:rPr>
                <w:color w:val="000000"/>
                <w:sz w:val="16"/>
                <w:szCs w:val="16"/>
              </w:rPr>
              <w:t>Set cinele inclus, cu Hi-Hat 14" și Crash 16"</w:t>
            </w:r>
          </w:p>
        </w:tc>
        <w:tc>
          <w:tcPr>
            <w:tcW w:w="1276" w:type="dxa"/>
            <w:shd w:val="clear" w:color="auto" w:fill="auto"/>
            <w:vAlign w:val="center"/>
          </w:tcPr>
          <w:p w14:paraId="3BBC931E">
            <w:pPr>
              <w:widowControl w:val="0"/>
              <w:spacing w:before="120" w:after="120"/>
              <w:jc w:val="center"/>
              <w:rPr>
                <w:color w:val="000000"/>
                <w:spacing w:val="-6"/>
                <w:sz w:val="16"/>
                <w:szCs w:val="16"/>
                <w:lang w:val="ro-RO"/>
              </w:rPr>
            </w:pPr>
            <w:r>
              <w:rPr>
                <w:color w:val="000000"/>
                <w:spacing w:val="-6"/>
                <w:sz w:val="16"/>
                <w:szCs w:val="16"/>
                <w:lang w:val="ro-RO"/>
              </w:rPr>
              <w:t>Nu este cazul</w:t>
            </w:r>
          </w:p>
        </w:tc>
        <w:tc>
          <w:tcPr>
            <w:tcW w:w="1292" w:type="dxa"/>
            <w:vAlign w:val="center"/>
          </w:tcPr>
          <w:p w14:paraId="4C64A896">
            <w:pPr>
              <w:widowControl w:val="0"/>
              <w:spacing w:before="120" w:after="120"/>
              <w:jc w:val="center"/>
              <w:rPr>
                <w:color w:val="000000"/>
                <w:spacing w:val="-6"/>
                <w:sz w:val="16"/>
                <w:szCs w:val="16"/>
                <w:lang w:val="ro-RO"/>
              </w:rPr>
            </w:pPr>
            <w:r>
              <w:rPr>
                <w:color w:val="000000"/>
                <w:spacing w:val="-6"/>
                <w:sz w:val="16"/>
                <w:szCs w:val="16"/>
                <w:lang w:val="ro-RO"/>
              </w:rPr>
              <w:t>Minim 36 luni</w:t>
            </w:r>
          </w:p>
        </w:tc>
      </w:tr>
      <w:tr w14:paraId="7801111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5682D10D">
            <w:pPr>
              <w:widowControl w:val="0"/>
              <w:spacing w:before="120" w:after="120"/>
              <w:jc w:val="center"/>
              <w:rPr>
                <w:bCs/>
                <w:iCs/>
                <w:spacing w:val="-6"/>
                <w:sz w:val="16"/>
                <w:szCs w:val="16"/>
                <w:lang w:val="ro-RO"/>
              </w:rPr>
            </w:pPr>
            <w:r>
              <w:rPr>
                <w:color w:val="000000"/>
                <w:sz w:val="16"/>
                <w:szCs w:val="16"/>
                <w:lang w:val="ro-RO"/>
              </w:rPr>
              <w:t>Instrument de percuție</w:t>
            </w:r>
          </w:p>
        </w:tc>
        <w:tc>
          <w:tcPr>
            <w:tcW w:w="891" w:type="dxa"/>
            <w:vAlign w:val="center"/>
          </w:tcPr>
          <w:p w14:paraId="739AD3A2">
            <w:pPr>
              <w:widowControl w:val="0"/>
              <w:spacing w:before="120" w:after="120"/>
              <w:jc w:val="center"/>
              <w:rPr>
                <w:bCs/>
                <w:i/>
                <w:iCs/>
                <w:spacing w:val="-6"/>
                <w:sz w:val="16"/>
                <w:szCs w:val="16"/>
                <w:lang w:val="ro-RO"/>
              </w:rPr>
            </w:pPr>
            <w:r>
              <w:rPr>
                <w:b/>
                <w:bCs/>
                <w:color w:val="000000"/>
                <w:sz w:val="16"/>
                <w:szCs w:val="16"/>
                <w:lang w:val="ro-RO"/>
              </w:rPr>
              <w:t>1</w:t>
            </w:r>
          </w:p>
        </w:tc>
        <w:tc>
          <w:tcPr>
            <w:tcW w:w="795" w:type="dxa"/>
            <w:shd w:val="clear" w:color="auto" w:fill="auto"/>
            <w:vAlign w:val="center"/>
          </w:tcPr>
          <w:p w14:paraId="15B5EDFB">
            <w:pPr>
              <w:widowControl w:val="0"/>
              <w:spacing w:before="120" w:after="120"/>
              <w:jc w:val="center"/>
              <w:rPr>
                <w:color w:val="000000"/>
                <w:spacing w:val="-6"/>
                <w:sz w:val="16"/>
                <w:szCs w:val="16"/>
                <w:lang w:val="ro-RO"/>
              </w:rPr>
            </w:pPr>
            <w:r>
              <w:rPr>
                <w:color w:val="000000"/>
                <w:spacing w:val="-6"/>
                <w:sz w:val="16"/>
                <w:szCs w:val="16"/>
                <w:lang w:val="ro-RO"/>
              </w:rPr>
              <w:t>bucată</w:t>
            </w:r>
          </w:p>
        </w:tc>
        <w:tc>
          <w:tcPr>
            <w:tcW w:w="1417" w:type="dxa"/>
            <w:shd w:val="clear" w:color="auto" w:fill="auto"/>
            <w:vAlign w:val="center"/>
          </w:tcPr>
          <w:p w14:paraId="7F778109">
            <w:pPr>
              <w:widowControl w:val="0"/>
              <w:spacing w:before="120" w:after="120"/>
              <w:jc w:val="center"/>
              <w:rPr>
                <w:color w:val="000000"/>
                <w:spacing w:val="-6"/>
                <w:sz w:val="16"/>
                <w:szCs w:val="16"/>
                <w:lang w:val="ro-RO"/>
              </w:rPr>
            </w:pPr>
            <w:r>
              <w:rPr>
                <w:color w:val="000000"/>
                <w:spacing w:val="-6"/>
                <w:sz w:val="16"/>
                <w:szCs w:val="16"/>
                <w:lang w:val="ro-RO"/>
              </w:rPr>
              <w:t>Municipiul Slobozia, conform repartizării indicată de către Autoritatea Contractantă / specificată în Anexa 1</w:t>
            </w:r>
          </w:p>
        </w:tc>
        <w:tc>
          <w:tcPr>
            <w:tcW w:w="1134" w:type="dxa"/>
            <w:shd w:val="clear" w:color="auto" w:fill="auto"/>
            <w:vAlign w:val="center"/>
          </w:tcPr>
          <w:p w14:paraId="269E21B8">
            <w:pPr>
              <w:widowControl w:val="0"/>
              <w:spacing w:before="120" w:after="120"/>
              <w:jc w:val="center"/>
              <w:rPr>
                <w:color w:val="000000"/>
                <w:spacing w:val="-6"/>
                <w:sz w:val="16"/>
                <w:szCs w:val="16"/>
                <w:lang w:val="ro-RO"/>
              </w:rPr>
            </w:pPr>
            <w:r>
              <w:rPr>
                <w:rFonts w:hint="default"/>
                <w:color w:val="auto"/>
                <w:sz w:val="16"/>
                <w:szCs w:val="16"/>
                <w:lang w:val="en-US"/>
              </w:rPr>
              <w:t>1</w:t>
            </w:r>
            <w:r>
              <w:rPr>
                <w:color w:val="auto"/>
                <w:sz w:val="16"/>
                <w:szCs w:val="16"/>
                <w:lang w:val="ro-RO"/>
              </w:rPr>
              <w:t>0 de zile de la data lansării comenzi</w:t>
            </w:r>
          </w:p>
        </w:tc>
        <w:tc>
          <w:tcPr>
            <w:tcW w:w="2835" w:type="dxa"/>
            <w:shd w:val="clear" w:color="auto" w:fill="auto"/>
          </w:tcPr>
          <w:p w14:paraId="1B80559B">
            <w:pPr>
              <w:pStyle w:val="56"/>
              <w:widowControl w:val="0"/>
              <w:numPr>
                <w:ilvl w:val="0"/>
                <w:numId w:val="7"/>
              </w:numPr>
              <w:spacing w:before="120" w:after="120"/>
              <w:ind w:left="140" w:leftChars="0" w:hanging="142" w:firstLineChars="0"/>
              <w:rPr>
                <w:color w:val="000000"/>
                <w:sz w:val="16"/>
                <w:szCs w:val="16"/>
              </w:rPr>
            </w:pPr>
            <w:r>
              <w:rPr>
                <w:color w:val="000000"/>
                <w:sz w:val="16"/>
                <w:szCs w:val="16"/>
              </w:rPr>
              <w:t>Xilofon pentru uz educațional</w:t>
            </w:r>
          </w:p>
          <w:p w14:paraId="2560D2E8">
            <w:pPr>
              <w:pStyle w:val="56"/>
              <w:widowControl w:val="0"/>
              <w:numPr>
                <w:ilvl w:val="0"/>
                <w:numId w:val="7"/>
              </w:numPr>
              <w:spacing w:before="120" w:after="120"/>
              <w:ind w:left="140" w:leftChars="0" w:hanging="142" w:firstLineChars="0"/>
              <w:rPr>
                <w:color w:val="000000"/>
                <w:sz w:val="16"/>
                <w:szCs w:val="16"/>
              </w:rPr>
            </w:pPr>
            <w:r>
              <w:rPr>
                <w:color w:val="000000"/>
                <w:sz w:val="16"/>
                <w:szCs w:val="16"/>
              </w:rPr>
              <w:t>Gamă Tonală: Do5 (C5) – La6 (A6)​</w:t>
            </w:r>
          </w:p>
          <w:p w14:paraId="0E87DF95">
            <w:pPr>
              <w:pStyle w:val="56"/>
              <w:widowControl w:val="0"/>
              <w:numPr>
                <w:ilvl w:val="0"/>
                <w:numId w:val="7"/>
              </w:numPr>
              <w:spacing w:before="120" w:after="120"/>
              <w:ind w:left="140" w:leftChars="0" w:hanging="142" w:firstLineChars="0"/>
              <w:rPr>
                <w:color w:val="000000"/>
                <w:sz w:val="16"/>
                <w:szCs w:val="16"/>
              </w:rPr>
            </w:pPr>
            <w:r>
              <w:rPr>
                <w:color w:val="000000"/>
                <w:sz w:val="16"/>
                <w:szCs w:val="16"/>
              </w:rPr>
              <w:t>Număr de Bare: minim 16​</w:t>
            </w:r>
          </w:p>
          <w:p w14:paraId="0D990DAE">
            <w:pPr>
              <w:pStyle w:val="56"/>
              <w:widowControl w:val="0"/>
              <w:numPr>
                <w:ilvl w:val="0"/>
                <w:numId w:val="7"/>
              </w:numPr>
              <w:spacing w:before="120" w:after="120"/>
              <w:ind w:left="140" w:leftChars="0" w:hanging="142" w:firstLineChars="0"/>
              <w:rPr>
                <w:color w:val="000000"/>
                <w:sz w:val="16"/>
                <w:szCs w:val="16"/>
              </w:rPr>
            </w:pPr>
            <w:r>
              <w:rPr>
                <w:color w:val="000000"/>
                <w:sz w:val="16"/>
                <w:szCs w:val="16"/>
              </w:rPr>
              <w:t>Materialul Barelor: lemn tratat​</w:t>
            </w:r>
          </w:p>
          <w:p w14:paraId="43AE88AE">
            <w:pPr>
              <w:pStyle w:val="56"/>
              <w:widowControl w:val="0"/>
              <w:numPr>
                <w:ilvl w:val="0"/>
                <w:numId w:val="7"/>
              </w:numPr>
              <w:spacing w:before="120" w:after="120"/>
              <w:ind w:left="140" w:leftChars="0" w:hanging="142" w:firstLineChars="0"/>
              <w:rPr>
                <w:color w:val="000000"/>
                <w:sz w:val="16"/>
                <w:szCs w:val="16"/>
              </w:rPr>
            </w:pPr>
            <w:r>
              <w:rPr>
                <w:color w:val="000000"/>
                <w:sz w:val="16"/>
                <w:szCs w:val="16"/>
              </w:rPr>
              <w:t>Dimensiuni Bare: minim 30 x 15 mm​</w:t>
            </w:r>
          </w:p>
          <w:p w14:paraId="19BE4518">
            <w:pPr>
              <w:pStyle w:val="56"/>
              <w:widowControl w:val="0"/>
              <w:numPr>
                <w:ilvl w:val="0"/>
                <w:numId w:val="7"/>
              </w:numPr>
              <w:spacing w:before="120" w:after="120"/>
              <w:ind w:left="140" w:leftChars="0" w:hanging="142" w:firstLineChars="0"/>
              <w:rPr>
                <w:color w:val="000000"/>
                <w:sz w:val="16"/>
                <w:szCs w:val="16"/>
              </w:rPr>
            </w:pPr>
            <w:r>
              <w:rPr>
                <w:color w:val="000000"/>
                <w:sz w:val="16"/>
                <w:szCs w:val="16"/>
              </w:rPr>
              <w:t>Rezonatoare: Fabricate din lemn, proiectate pentru a amplifica și îmbunătăți calitatea sunetului​</w:t>
            </w:r>
          </w:p>
          <w:p w14:paraId="336D60F1">
            <w:pPr>
              <w:pStyle w:val="56"/>
              <w:widowControl w:val="0"/>
              <w:numPr>
                <w:ilvl w:val="0"/>
                <w:numId w:val="7"/>
              </w:numPr>
              <w:spacing w:before="120" w:after="120"/>
              <w:ind w:left="140" w:leftChars="0" w:hanging="142" w:firstLineChars="0"/>
              <w:rPr>
                <w:color w:val="000000"/>
                <w:sz w:val="16"/>
                <w:szCs w:val="16"/>
              </w:rPr>
            </w:pPr>
            <w:r>
              <w:rPr>
                <w:color w:val="000000"/>
                <w:sz w:val="16"/>
                <w:szCs w:val="16"/>
              </w:rPr>
              <w:t>Dimensiuni Totale: 65 x 25 x 8 cm​, toleranță +/- 10%</w:t>
            </w:r>
          </w:p>
          <w:p w14:paraId="062CD260">
            <w:pPr>
              <w:pStyle w:val="56"/>
              <w:widowControl w:val="0"/>
              <w:numPr>
                <w:ilvl w:val="0"/>
                <w:numId w:val="7"/>
              </w:numPr>
              <w:spacing w:before="120" w:after="120"/>
              <w:ind w:left="140" w:leftChars="0" w:hanging="142" w:firstLineChars="0"/>
              <w:rPr>
                <w:color w:val="000000"/>
                <w:sz w:val="16"/>
                <w:szCs w:val="16"/>
              </w:rPr>
            </w:pPr>
            <w:r>
              <w:rPr>
                <w:color w:val="000000"/>
                <w:sz w:val="16"/>
                <w:szCs w:val="16"/>
              </w:rPr>
              <w:t>Design Modular: Permite înlocuirea sau adăugarea de bare pentru extinderea gamei tonale​</w:t>
            </w:r>
          </w:p>
          <w:p w14:paraId="008F51AB">
            <w:pPr>
              <w:pStyle w:val="56"/>
              <w:widowControl w:val="0"/>
              <w:numPr>
                <w:ilvl w:val="0"/>
                <w:numId w:val="7"/>
              </w:numPr>
              <w:spacing w:before="120" w:after="120"/>
              <w:ind w:left="140" w:leftChars="0" w:hanging="142" w:firstLineChars="0"/>
              <w:rPr>
                <w:color w:val="000000"/>
                <w:sz w:val="16"/>
                <w:szCs w:val="16"/>
              </w:rPr>
            </w:pPr>
            <w:r>
              <w:rPr>
                <w:color w:val="000000"/>
                <w:sz w:val="16"/>
                <w:szCs w:val="16"/>
              </w:rPr>
              <w:t>Accesorii Incluse: Două baghete (bețe) pentru percuție.</w:t>
            </w:r>
          </w:p>
        </w:tc>
        <w:tc>
          <w:tcPr>
            <w:tcW w:w="1276" w:type="dxa"/>
            <w:shd w:val="clear" w:color="auto" w:fill="auto"/>
            <w:vAlign w:val="center"/>
          </w:tcPr>
          <w:p w14:paraId="153CC7B8">
            <w:pPr>
              <w:widowControl w:val="0"/>
              <w:spacing w:before="120" w:after="120"/>
              <w:jc w:val="center"/>
              <w:rPr>
                <w:color w:val="000000"/>
                <w:spacing w:val="-6"/>
                <w:sz w:val="16"/>
                <w:szCs w:val="16"/>
                <w:lang w:val="ro-RO"/>
              </w:rPr>
            </w:pPr>
            <w:r>
              <w:rPr>
                <w:color w:val="000000"/>
                <w:spacing w:val="-6"/>
                <w:sz w:val="16"/>
                <w:szCs w:val="16"/>
                <w:lang w:val="ro-RO"/>
              </w:rPr>
              <w:t>Nu este cazul</w:t>
            </w:r>
          </w:p>
        </w:tc>
        <w:tc>
          <w:tcPr>
            <w:tcW w:w="1292" w:type="dxa"/>
            <w:vAlign w:val="center"/>
          </w:tcPr>
          <w:p w14:paraId="57C692F8">
            <w:pPr>
              <w:widowControl w:val="0"/>
              <w:spacing w:before="120" w:after="120"/>
              <w:jc w:val="center"/>
              <w:rPr>
                <w:color w:val="000000"/>
                <w:spacing w:val="-6"/>
                <w:sz w:val="16"/>
                <w:szCs w:val="16"/>
                <w:lang w:val="ro-RO"/>
              </w:rPr>
            </w:pPr>
            <w:r>
              <w:rPr>
                <w:color w:val="000000"/>
                <w:spacing w:val="-6"/>
                <w:sz w:val="16"/>
                <w:szCs w:val="16"/>
                <w:lang w:val="ro-RO"/>
              </w:rPr>
              <w:t>Minim 36 luni</w:t>
            </w:r>
          </w:p>
        </w:tc>
      </w:tr>
      <w:tr w14:paraId="6DDCB02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shd w:val="clear" w:color="auto" w:fill="auto"/>
            <w:vAlign w:val="center"/>
          </w:tcPr>
          <w:p w14:paraId="5BFA85F6">
            <w:pPr>
              <w:widowControl w:val="0"/>
              <w:spacing w:before="120" w:after="120"/>
              <w:jc w:val="center"/>
              <w:rPr>
                <w:bCs/>
                <w:iCs/>
                <w:spacing w:val="-6"/>
                <w:sz w:val="16"/>
                <w:szCs w:val="16"/>
                <w:lang w:val="ro-RO"/>
              </w:rPr>
            </w:pPr>
            <w:r>
              <w:rPr>
                <w:color w:val="auto"/>
                <w:sz w:val="16"/>
                <w:szCs w:val="16"/>
                <w:lang w:val="ro-RO"/>
              </w:rPr>
              <w:t>Soluție videoconferință all-in-one cu stand mobil</w:t>
            </w:r>
          </w:p>
        </w:tc>
        <w:tc>
          <w:tcPr>
            <w:tcW w:w="891" w:type="dxa"/>
            <w:vAlign w:val="center"/>
          </w:tcPr>
          <w:p w14:paraId="34F21518">
            <w:pPr>
              <w:widowControl w:val="0"/>
              <w:spacing w:before="120" w:after="120"/>
              <w:jc w:val="center"/>
              <w:rPr>
                <w:bCs/>
                <w:i/>
                <w:iCs/>
                <w:spacing w:val="-6"/>
                <w:sz w:val="16"/>
                <w:szCs w:val="16"/>
                <w:lang w:val="ro-RO"/>
              </w:rPr>
            </w:pPr>
            <w:r>
              <w:rPr>
                <w:b/>
                <w:bCs/>
                <w:color w:val="000000"/>
                <w:sz w:val="16"/>
                <w:szCs w:val="16"/>
                <w:lang w:val="ro-RO"/>
              </w:rPr>
              <w:t>1</w:t>
            </w:r>
          </w:p>
        </w:tc>
        <w:tc>
          <w:tcPr>
            <w:tcW w:w="795" w:type="dxa"/>
            <w:shd w:val="clear" w:color="auto" w:fill="auto"/>
            <w:vAlign w:val="center"/>
          </w:tcPr>
          <w:p w14:paraId="462014AF">
            <w:pPr>
              <w:widowControl w:val="0"/>
              <w:spacing w:before="120" w:after="120"/>
              <w:jc w:val="center"/>
              <w:rPr>
                <w:color w:val="000000"/>
                <w:spacing w:val="-6"/>
                <w:sz w:val="16"/>
                <w:szCs w:val="16"/>
                <w:lang w:val="ro-RO"/>
              </w:rPr>
            </w:pPr>
            <w:r>
              <w:rPr>
                <w:color w:val="000000"/>
                <w:spacing w:val="-6"/>
                <w:sz w:val="16"/>
                <w:szCs w:val="16"/>
                <w:lang w:val="ro-RO"/>
              </w:rPr>
              <w:t>bucată</w:t>
            </w:r>
          </w:p>
        </w:tc>
        <w:tc>
          <w:tcPr>
            <w:tcW w:w="1417" w:type="dxa"/>
            <w:shd w:val="clear" w:color="auto" w:fill="auto"/>
            <w:vAlign w:val="center"/>
          </w:tcPr>
          <w:p w14:paraId="57C644AE">
            <w:pPr>
              <w:widowControl w:val="0"/>
              <w:spacing w:before="120" w:after="120"/>
              <w:jc w:val="center"/>
              <w:rPr>
                <w:color w:val="000000"/>
                <w:spacing w:val="-6"/>
                <w:sz w:val="16"/>
                <w:szCs w:val="16"/>
                <w:lang w:val="ro-RO"/>
              </w:rPr>
            </w:pPr>
            <w:r>
              <w:rPr>
                <w:color w:val="000000"/>
                <w:spacing w:val="-6"/>
                <w:sz w:val="16"/>
                <w:szCs w:val="16"/>
                <w:lang w:val="ro-RO"/>
              </w:rPr>
              <w:t>Municipiul Slobozia, conform repartizării indicată de către Autoritatea Contractantă / specificată în Anexa 1</w:t>
            </w:r>
          </w:p>
        </w:tc>
        <w:tc>
          <w:tcPr>
            <w:tcW w:w="1134" w:type="dxa"/>
            <w:shd w:val="clear" w:color="auto" w:fill="auto"/>
            <w:vAlign w:val="center"/>
          </w:tcPr>
          <w:p w14:paraId="6C45AF82">
            <w:pPr>
              <w:widowControl w:val="0"/>
              <w:spacing w:before="120" w:after="120"/>
              <w:jc w:val="center"/>
              <w:rPr>
                <w:color w:val="000000"/>
                <w:spacing w:val="-6"/>
                <w:sz w:val="16"/>
                <w:szCs w:val="16"/>
                <w:lang w:val="ro-RO"/>
              </w:rPr>
            </w:pPr>
            <w:r>
              <w:rPr>
                <w:rFonts w:hint="default"/>
                <w:color w:val="auto"/>
                <w:sz w:val="16"/>
                <w:szCs w:val="16"/>
                <w:lang w:val="en-US"/>
              </w:rPr>
              <w:t>1</w:t>
            </w:r>
            <w:r>
              <w:rPr>
                <w:color w:val="auto"/>
                <w:sz w:val="16"/>
                <w:szCs w:val="16"/>
                <w:lang w:val="ro-RO"/>
              </w:rPr>
              <w:t>0 de zile de la data lansării comenzi</w:t>
            </w:r>
          </w:p>
        </w:tc>
        <w:tc>
          <w:tcPr>
            <w:tcW w:w="2835" w:type="dxa"/>
            <w:shd w:val="clear" w:color="auto" w:fill="auto"/>
          </w:tcPr>
          <w:p w14:paraId="486B086F">
            <w:pPr>
              <w:pStyle w:val="56"/>
              <w:widowControl w:val="0"/>
              <w:numPr>
                <w:ilvl w:val="0"/>
                <w:numId w:val="7"/>
              </w:numPr>
              <w:spacing w:before="120" w:after="120"/>
              <w:ind w:left="140" w:leftChars="0" w:hanging="142" w:firstLineChars="0"/>
              <w:rPr>
                <w:color w:val="000000"/>
                <w:sz w:val="16"/>
                <w:szCs w:val="16"/>
              </w:rPr>
            </w:pPr>
            <w:r>
              <w:rPr>
                <w:color w:val="000000"/>
                <w:sz w:val="16"/>
                <w:szCs w:val="16"/>
              </w:rPr>
              <w:t>Set format din bară video all-in-one, conținând cameră video UltraHD 4K, sistem de microfoane beamforming și difuzoare de înaltă calitate</w:t>
            </w:r>
          </w:p>
          <w:p w14:paraId="4D2F6E0E">
            <w:pPr>
              <w:pStyle w:val="56"/>
              <w:widowControl w:val="0"/>
              <w:numPr>
                <w:ilvl w:val="0"/>
                <w:numId w:val="7"/>
              </w:numPr>
              <w:spacing w:before="120" w:after="120"/>
              <w:ind w:left="140" w:leftChars="0" w:hanging="142" w:firstLineChars="0"/>
              <w:rPr>
                <w:color w:val="000000"/>
                <w:sz w:val="16"/>
                <w:szCs w:val="16"/>
              </w:rPr>
            </w:pPr>
            <w:r>
              <w:rPr>
                <w:color w:val="000000"/>
                <w:sz w:val="16"/>
                <w:szCs w:val="16"/>
              </w:rPr>
              <w:t>Dimensiunea sistemului: minim 90 mm înălțime, 715 mm lățime, 100 mm adâncime;</w:t>
            </w:r>
          </w:p>
          <w:p w14:paraId="2F9DDFDC">
            <w:pPr>
              <w:pStyle w:val="56"/>
              <w:widowControl w:val="0"/>
              <w:numPr>
                <w:ilvl w:val="0"/>
                <w:numId w:val="7"/>
              </w:numPr>
              <w:spacing w:before="120" w:after="120"/>
              <w:ind w:left="140" w:leftChars="0" w:hanging="142" w:firstLineChars="0"/>
              <w:rPr>
                <w:color w:val="000000"/>
                <w:sz w:val="16"/>
                <w:szCs w:val="16"/>
              </w:rPr>
            </w:pPr>
            <w:r>
              <w:rPr>
                <w:color w:val="000000"/>
                <w:sz w:val="16"/>
                <w:szCs w:val="16"/>
              </w:rPr>
              <w:t>Cameră rezoluție minim 4K, zoom 5x optic, 3x digital, funcții de panoramare și înclinare motorizate;</w:t>
            </w:r>
          </w:p>
          <w:p w14:paraId="56A1CD6B">
            <w:pPr>
              <w:pStyle w:val="56"/>
              <w:widowControl w:val="0"/>
              <w:numPr>
                <w:ilvl w:val="0"/>
                <w:numId w:val="7"/>
              </w:numPr>
              <w:spacing w:before="120" w:after="120"/>
              <w:ind w:left="140" w:leftChars="0" w:hanging="142" w:firstLineChars="0"/>
              <w:rPr>
                <w:color w:val="000000"/>
                <w:sz w:val="16"/>
                <w:szCs w:val="16"/>
              </w:rPr>
            </w:pPr>
            <w:r>
              <w:rPr>
                <w:color w:val="000000"/>
                <w:sz w:val="16"/>
                <w:szCs w:val="16"/>
              </w:rPr>
              <w:t>Minim 6 microfoane MEMS omnidirecționale cu formare de fascicul adaptiv, rază de preluare de până la 4,5 metri, funcție de anulare a ecoului acustic (AEC), detector de activitate vocală (VAD), suprimare a zgomotului;</w:t>
            </w:r>
          </w:p>
          <w:p w14:paraId="18525B30">
            <w:pPr>
              <w:pStyle w:val="56"/>
              <w:widowControl w:val="0"/>
              <w:numPr>
                <w:ilvl w:val="0"/>
                <w:numId w:val="7"/>
              </w:numPr>
              <w:spacing w:before="120" w:after="120"/>
              <w:ind w:left="140" w:leftChars="0" w:hanging="142" w:firstLineChars="0"/>
              <w:rPr>
                <w:color w:val="000000"/>
                <w:sz w:val="16"/>
                <w:szCs w:val="16"/>
              </w:rPr>
            </w:pPr>
            <w:r>
              <w:rPr>
                <w:color w:val="000000"/>
                <w:sz w:val="16"/>
                <w:szCs w:val="16"/>
              </w:rPr>
              <w:t>2 difuzoare cu woofer și tweeter; răspuns în frecvență 90 Hz – 16 kHz, sensibilitate minim &gt;–36dBFS +/-1dB @ 1P;</w:t>
            </w:r>
          </w:p>
          <w:p w14:paraId="2A8107B2">
            <w:pPr>
              <w:pStyle w:val="56"/>
              <w:widowControl w:val="0"/>
              <w:numPr>
                <w:ilvl w:val="0"/>
                <w:numId w:val="7"/>
              </w:numPr>
              <w:spacing w:before="120" w:after="120"/>
              <w:ind w:left="140" w:leftChars="0" w:hanging="142" w:firstLineChars="0"/>
              <w:rPr>
                <w:color w:val="000000"/>
                <w:sz w:val="16"/>
                <w:szCs w:val="16"/>
              </w:rPr>
            </w:pPr>
            <w:r>
              <w:rPr>
                <w:color w:val="000000"/>
                <w:sz w:val="16"/>
                <w:szCs w:val="16"/>
              </w:rPr>
              <w:t xml:space="preserve">Conectivitate: minim 2 porturi HDMI ieșire și minim 1 port HDMI intrare, porturi USB: 3 x USB-A 2.0, 1 x USB-C 3.0; rețea Ethernet 10/100/1G, Wi-Fi 802.11a/b/g/n/ac (MIMO); intrare microfon extern: Suport pentru Rally Mic Pod; </w:t>
            </w:r>
          </w:p>
          <w:p w14:paraId="3311078A">
            <w:pPr>
              <w:pStyle w:val="56"/>
              <w:widowControl w:val="0"/>
              <w:numPr>
                <w:ilvl w:val="0"/>
                <w:numId w:val="7"/>
              </w:numPr>
              <w:spacing w:before="120" w:after="120"/>
              <w:ind w:left="140" w:leftChars="0" w:hanging="142" w:firstLineChars="0"/>
              <w:rPr>
                <w:color w:val="000000"/>
                <w:sz w:val="16"/>
                <w:szCs w:val="16"/>
              </w:rPr>
            </w:pPr>
            <w:r>
              <w:rPr>
                <w:color w:val="000000"/>
                <w:sz w:val="16"/>
                <w:szCs w:val="16"/>
              </w:rPr>
              <w:t>Compatibil cu aplicațiile de videoconferință prin conexiune USB</w:t>
            </w:r>
          </w:p>
        </w:tc>
        <w:tc>
          <w:tcPr>
            <w:tcW w:w="1276" w:type="dxa"/>
            <w:shd w:val="clear" w:color="auto" w:fill="auto"/>
            <w:vAlign w:val="center"/>
          </w:tcPr>
          <w:p w14:paraId="2F5B04BD">
            <w:pPr>
              <w:widowControl w:val="0"/>
              <w:spacing w:before="120" w:after="120"/>
              <w:jc w:val="center"/>
              <w:rPr>
                <w:color w:val="000000"/>
                <w:spacing w:val="-6"/>
                <w:sz w:val="16"/>
                <w:szCs w:val="16"/>
                <w:lang w:val="ro-RO"/>
              </w:rPr>
            </w:pPr>
            <w:r>
              <w:rPr>
                <w:color w:val="000000"/>
                <w:spacing w:val="-6"/>
                <w:sz w:val="16"/>
                <w:szCs w:val="16"/>
                <w:lang w:val="ro-RO"/>
              </w:rPr>
              <w:t>Nu este cazul</w:t>
            </w:r>
          </w:p>
        </w:tc>
        <w:tc>
          <w:tcPr>
            <w:tcW w:w="1292" w:type="dxa"/>
            <w:vAlign w:val="center"/>
          </w:tcPr>
          <w:p w14:paraId="51D184B3">
            <w:pPr>
              <w:widowControl w:val="0"/>
              <w:spacing w:before="120" w:after="120"/>
              <w:jc w:val="center"/>
              <w:rPr>
                <w:color w:val="000000"/>
                <w:spacing w:val="-6"/>
                <w:sz w:val="16"/>
                <w:szCs w:val="16"/>
                <w:lang w:val="ro-RO"/>
              </w:rPr>
            </w:pPr>
            <w:r>
              <w:rPr>
                <w:color w:val="000000"/>
                <w:spacing w:val="-6"/>
                <w:sz w:val="16"/>
                <w:szCs w:val="16"/>
                <w:lang w:val="ro-RO"/>
              </w:rPr>
              <w:t>Minim 36 luni</w:t>
            </w:r>
          </w:p>
        </w:tc>
      </w:tr>
    </w:tbl>
    <w:p w14:paraId="167F566F">
      <w:pPr>
        <w:spacing w:before="120" w:after="120"/>
        <w:jc w:val="both"/>
        <w:rPr>
          <w:iCs/>
          <w:spacing w:val="-4"/>
          <w:lang w:val="ro-RO"/>
        </w:rPr>
      </w:pPr>
    </w:p>
    <w:p w14:paraId="44727EAD">
      <w:pPr>
        <w:spacing w:before="120" w:after="120"/>
        <w:jc w:val="both"/>
        <w:rPr>
          <w:iCs/>
          <w:spacing w:val="-4"/>
          <w:sz w:val="22"/>
          <w:szCs w:val="22"/>
          <w:lang w:val="ro-RO"/>
        </w:rPr>
      </w:pPr>
      <w:r>
        <w:rPr>
          <w:iCs/>
          <w:spacing w:val="-4"/>
          <w:sz w:val="22"/>
          <w:szCs w:val="22"/>
          <w:lang w:val="ro-RO"/>
        </w:rPr>
        <w:t xml:space="preserve">În cadrul prezentei achiziții, produsele și materialele încorporate ce urmează a fi achiziționate trebuie să fie noi, nefolosite. Materialele didactice ofertate vor conține cele mai recente îmbunătățiri in proiectare si materiale. </w:t>
      </w:r>
    </w:p>
    <w:p w14:paraId="777286FD">
      <w:pPr>
        <w:spacing w:before="120" w:after="120"/>
        <w:jc w:val="both"/>
        <w:rPr>
          <w:iCs/>
          <w:spacing w:val="-4"/>
          <w:sz w:val="22"/>
          <w:szCs w:val="22"/>
          <w:lang w:val="ro-RO"/>
        </w:rPr>
      </w:pPr>
      <w:r>
        <w:rPr>
          <w:iCs/>
          <w:spacing w:val="-4"/>
          <w:sz w:val="22"/>
          <w:szCs w:val="22"/>
          <w:lang w:val="ro-RO"/>
        </w:rPr>
        <w:t>Orice referire la standarde va fi însoțită de mențiunea „</w:t>
      </w:r>
      <w:r>
        <w:rPr>
          <w:b/>
          <w:bCs/>
          <w:iCs/>
          <w:spacing w:val="-4"/>
          <w:sz w:val="22"/>
          <w:szCs w:val="22"/>
          <w:lang w:val="ro-RO"/>
        </w:rPr>
        <w:t>sau echivalent</w:t>
      </w:r>
      <w:r>
        <w:rPr>
          <w:iCs/>
          <w:spacing w:val="-4"/>
          <w:sz w:val="22"/>
          <w:szCs w:val="22"/>
          <w:lang w:val="ro-RO"/>
        </w:rPr>
        <w:t>”, fiind în sarcina ofertantului de a demonstra echivalența în cazul în care produsele furnizate sunt conforme cu un standard echivalent celui menționat în Caietul de sarcini.</w:t>
      </w:r>
    </w:p>
    <w:p w14:paraId="7FB1976F">
      <w:pPr>
        <w:pStyle w:val="28"/>
        <w:shd w:val="clear" w:color="auto" w:fill="auto"/>
        <w:spacing w:before="120" w:after="120" w:line="240" w:lineRule="auto"/>
        <w:ind w:left="23" w:right="23" w:hanging="23"/>
        <w:rPr>
          <w:sz w:val="22"/>
          <w:szCs w:val="22"/>
        </w:rPr>
      </w:pPr>
      <w:r>
        <w:rPr>
          <w:sz w:val="22"/>
          <w:szCs w:val="22"/>
        </w:rPr>
        <w:t>Cerințele tehnice ale produselor se completează cu cerințe ce privesc certificările, avizele, standardele și obligații ale ofertanților privind asigurarea serviciilor conexe privind punerea în funcțiune, instalarea, instruirea și asigurarea mentenanței atât în perioada de garanție, cât și în perioada post-garanție.</w:t>
      </w:r>
    </w:p>
    <w:p w14:paraId="5B0B8385">
      <w:pPr>
        <w:pStyle w:val="28"/>
        <w:shd w:val="clear" w:color="auto" w:fill="auto"/>
        <w:spacing w:line="240" w:lineRule="auto"/>
        <w:ind w:left="20" w:right="20" w:firstLine="360"/>
        <w:contextualSpacing/>
        <w:rPr>
          <w:sz w:val="22"/>
          <w:szCs w:val="22"/>
        </w:rPr>
      </w:pPr>
    </w:p>
    <w:p w14:paraId="63C16B71">
      <w:pPr>
        <w:pStyle w:val="4"/>
        <w:numPr>
          <w:ilvl w:val="2"/>
          <w:numId w:val="3"/>
        </w:numPr>
        <w:spacing w:before="120" w:after="120" w:line="240" w:lineRule="auto"/>
        <w:contextualSpacing w:val="0"/>
        <w:rPr>
          <w:b w:val="0"/>
          <w:bCs w:val="0"/>
          <w:i/>
          <w:iCs/>
          <w:sz w:val="22"/>
          <w:szCs w:val="22"/>
          <w:lang w:val="ro-RO"/>
        </w:rPr>
      </w:pPr>
      <w:bookmarkStart w:id="17" w:name="_Toc9937"/>
      <w:r>
        <w:rPr>
          <w:b w:val="0"/>
          <w:bCs w:val="0"/>
          <w:i/>
          <w:iCs/>
          <w:sz w:val="22"/>
          <w:szCs w:val="22"/>
          <w:lang w:val="ro-RO"/>
        </w:rPr>
        <w:t>Timp de funcționare (disponibilitate) a produselor</w:t>
      </w:r>
      <w:bookmarkEnd w:id="17"/>
    </w:p>
    <w:p w14:paraId="0E43BDFF">
      <w:pPr>
        <w:pStyle w:val="28"/>
        <w:shd w:val="clear" w:color="auto" w:fill="auto"/>
        <w:spacing w:before="120" w:after="120" w:line="240" w:lineRule="auto"/>
        <w:ind w:left="23" w:right="23" w:hanging="23"/>
        <w:rPr>
          <w:sz w:val="22"/>
          <w:szCs w:val="22"/>
        </w:rPr>
      </w:pPr>
      <w:r>
        <w:rPr>
          <w:sz w:val="22"/>
          <w:szCs w:val="22"/>
        </w:rPr>
        <w:t>Materialele didactice ce urmează a fi achiziționate prin prezenta procedură vor fi fiabile și economice, apte pentru utilizarea intensivă conform destinației lor.</w:t>
      </w:r>
    </w:p>
    <w:p w14:paraId="57DCA159">
      <w:pPr>
        <w:pStyle w:val="28"/>
        <w:shd w:val="clear" w:color="auto" w:fill="auto"/>
        <w:spacing w:before="120" w:after="120" w:line="240" w:lineRule="auto"/>
        <w:ind w:left="23" w:right="23" w:hanging="23"/>
        <w:rPr>
          <w:sz w:val="22"/>
          <w:szCs w:val="22"/>
        </w:rPr>
      </w:pPr>
    </w:p>
    <w:p w14:paraId="4626B8A3">
      <w:pPr>
        <w:pStyle w:val="4"/>
        <w:numPr>
          <w:ilvl w:val="1"/>
          <w:numId w:val="3"/>
        </w:numPr>
        <w:spacing w:before="120" w:after="120" w:line="240" w:lineRule="auto"/>
        <w:contextualSpacing w:val="0"/>
        <w:rPr>
          <w:sz w:val="22"/>
          <w:szCs w:val="22"/>
          <w:lang w:val="ro-RO"/>
        </w:rPr>
      </w:pPr>
      <w:bookmarkStart w:id="18" w:name="_Toc20984"/>
      <w:r>
        <w:rPr>
          <w:sz w:val="22"/>
          <w:szCs w:val="22"/>
          <w:lang w:val="ro-RO"/>
        </w:rPr>
        <w:t>Extensibilitate (dacă este cazul)</w:t>
      </w:r>
      <w:bookmarkEnd w:id="18"/>
    </w:p>
    <w:p w14:paraId="56860EDE">
      <w:pPr>
        <w:pStyle w:val="28"/>
        <w:shd w:val="clear" w:color="auto" w:fill="auto"/>
        <w:spacing w:before="120" w:after="120" w:line="240" w:lineRule="auto"/>
        <w:ind w:right="23" w:firstLine="0"/>
        <w:rPr>
          <w:sz w:val="22"/>
          <w:szCs w:val="22"/>
        </w:rPr>
      </w:pPr>
      <w:r>
        <w:rPr>
          <w:sz w:val="22"/>
          <w:szCs w:val="22"/>
        </w:rPr>
        <w:t>Nu este cazul</w:t>
      </w:r>
    </w:p>
    <w:p w14:paraId="6FF549B1">
      <w:pPr>
        <w:pStyle w:val="28"/>
        <w:shd w:val="clear" w:color="auto" w:fill="auto"/>
        <w:spacing w:line="240" w:lineRule="auto"/>
        <w:ind w:left="20" w:right="20" w:firstLine="360"/>
        <w:contextualSpacing/>
        <w:rPr>
          <w:sz w:val="22"/>
          <w:szCs w:val="22"/>
        </w:rPr>
      </w:pPr>
    </w:p>
    <w:p w14:paraId="3018EC7C">
      <w:pPr>
        <w:pStyle w:val="4"/>
        <w:numPr>
          <w:ilvl w:val="1"/>
          <w:numId w:val="3"/>
        </w:numPr>
        <w:spacing w:before="120" w:after="120" w:line="240" w:lineRule="auto"/>
        <w:contextualSpacing w:val="0"/>
        <w:rPr>
          <w:sz w:val="22"/>
          <w:szCs w:val="22"/>
          <w:lang w:val="ro-RO"/>
        </w:rPr>
      </w:pPr>
      <w:bookmarkStart w:id="19" w:name="_Toc2049"/>
      <w:r>
        <w:rPr>
          <w:sz w:val="22"/>
          <w:szCs w:val="22"/>
          <w:lang w:val="ro-RO"/>
        </w:rPr>
        <w:t>Furnizarea de produse de generație superioară</w:t>
      </w:r>
      <w:bookmarkEnd w:id="19"/>
    </w:p>
    <w:p w14:paraId="47351B27">
      <w:pPr>
        <w:pStyle w:val="28"/>
        <w:shd w:val="clear" w:color="auto" w:fill="auto"/>
        <w:spacing w:before="120" w:after="120" w:line="240" w:lineRule="auto"/>
        <w:ind w:right="23" w:firstLine="0"/>
        <w:rPr>
          <w:sz w:val="22"/>
          <w:szCs w:val="22"/>
        </w:rPr>
      </w:pPr>
      <w:r>
        <w:rPr>
          <w:sz w:val="22"/>
          <w:szCs w:val="22"/>
        </w:rPr>
        <w:t>Nu este cazul</w:t>
      </w:r>
    </w:p>
    <w:p w14:paraId="5B5F734B">
      <w:pPr>
        <w:pStyle w:val="28"/>
        <w:shd w:val="clear" w:color="auto" w:fill="auto"/>
        <w:spacing w:line="240" w:lineRule="auto"/>
        <w:ind w:left="20" w:right="20" w:firstLine="360"/>
        <w:contextualSpacing/>
        <w:rPr>
          <w:sz w:val="22"/>
          <w:szCs w:val="22"/>
        </w:rPr>
      </w:pPr>
    </w:p>
    <w:p w14:paraId="77D6F310">
      <w:pPr>
        <w:pStyle w:val="4"/>
        <w:numPr>
          <w:ilvl w:val="1"/>
          <w:numId w:val="3"/>
        </w:numPr>
        <w:spacing w:before="120" w:after="120" w:line="240" w:lineRule="auto"/>
        <w:contextualSpacing w:val="0"/>
        <w:rPr>
          <w:sz w:val="22"/>
          <w:szCs w:val="22"/>
          <w:lang w:val="ro-RO"/>
        </w:rPr>
      </w:pPr>
      <w:bookmarkStart w:id="20" w:name="_Toc24863"/>
      <w:r>
        <w:rPr>
          <w:sz w:val="22"/>
          <w:szCs w:val="22"/>
          <w:lang w:val="ro-RO"/>
        </w:rPr>
        <w:t>Garanție</w:t>
      </w:r>
      <w:bookmarkEnd w:id="20"/>
    </w:p>
    <w:p w14:paraId="0C379F75">
      <w:pPr>
        <w:widowControl w:val="0"/>
        <w:spacing w:before="120" w:after="120"/>
        <w:jc w:val="both"/>
        <w:rPr>
          <w:b/>
          <w:iCs/>
          <w:spacing w:val="-6"/>
          <w:sz w:val="22"/>
          <w:szCs w:val="22"/>
          <w:lang w:val="ro-RO"/>
        </w:rPr>
      </w:pPr>
      <w:r>
        <w:rPr>
          <w:iCs/>
          <w:spacing w:val="-6"/>
          <w:sz w:val="22"/>
          <w:szCs w:val="22"/>
          <w:lang w:val="ro-RO"/>
        </w:rPr>
        <w:t>Toate produsele trebuie să fie acoperite de garanție pentru perioada prevăzută</w:t>
      </w:r>
      <w:r>
        <w:rPr>
          <w:iCs/>
          <w:color w:val="auto"/>
          <w:spacing w:val="-6"/>
          <w:sz w:val="22"/>
          <w:szCs w:val="22"/>
          <w:lang w:val="ro-RO"/>
        </w:rPr>
        <w:t xml:space="preserve"> în coloana aferenta garanției din tabelul de la </w:t>
      </w:r>
      <w:r>
        <w:rPr>
          <w:b/>
          <w:bCs/>
          <w:iCs/>
          <w:color w:val="auto"/>
          <w:spacing w:val="-6"/>
          <w:sz w:val="22"/>
          <w:szCs w:val="22"/>
          <w:lang w:val="ro-RO"/>
        </w:rPr>
        <w:t>Secțiunea 3.3.1</w:t>
      </w:r>
      <w:r>
        <w:rPr>
          <w:iCs/>
          <w:color w:val="auto"/>
          <w:spacing w:val="-6"/>
          <w:sz w:val="22"/>
          <w:szCs w:val="22"/>
          <w:lang w:val="ro-RO"/>
        </w:rPr>
        <w:t xml:space="preserve">, acolo unde a fost solicitată. </w:t>
      </w:r>
      <w:r>
        <w:rPr>
          <w:iCs/>
          <w:spacing w:val="-6"/>
          <w:sz w:val="22"/>
          <w:szCs w:val="22"/>
          <w:lang w:val="ro-RO"/>
        </w:rPr>
        <w:t>Perioada de garanție începe de la data punerii în funcție a produselor.</w:t>
      </w:r>
    </w:p>
    <w:p w14:paraId="4CECFBAF">
      <w:pPr>
        <w:widowControl w:val="0"/>
        <w:spacing w:before="120" w:after="120"/>
        <w:jc w:val="both"/>
        <w:rPr>
          <w:iCs/>
          <w:spacing w:val="-6"/>
          <w:sz w:val="22"/>
          <w:szCs w:val="22"/>
          <w:lang w:val="ro-RO"/>
        </w:rPr>
      </w:pPr>
      <w:r>
        <w:rPr>
          <w:iCs/>
          <w:spacing w:val="-6"/>
          <w:sz w:val="22"/>
          <w:szCs w:val="22"/>
          <w:lang w:val="ro-RO"/>
        </w:rPr>
        <w:t>Garanția trebuie sa acopere toate costurile rezultate din remedierea defectelor in perioada de garanție, inclusiv, dar fără a se limita la:</w:t>
      </w:r>
    </w:p>
    <w:p w14:paraId="3A803A8C">
      <w:pPr>
        <w:pStyle w:val="56"/>
        <w:widowControl w:val="0"/>
        <w:numPr>
          <w:ilvl w:val="1"/>
          <w:numId w:val="8"/>
        </w:numPr>
        <w:spacing w:before="120" w:after="120"/>
        <w:ind w:left="567"/>
        <w:jc w:val="both"/>
        <w:rPr>
          <w:iCs/>
          <w:spacing w:val="-6"/>
          <w:sz w:val="22"/>
          <w:szCs w:val="22"/>
        </w:rPr>
      </w:pPr>
      <w:r>
        <w:rPr>
          <w:iCs/>
          <w:spacing w:val="-6"/>
          <w:sz w:val="22"/>
          <w:szCs w:val="22"/>
        </w:rPr>
        <w:t>demontare produse, inclusiv închirierea de unelte speciale necesare pe durata intervenției (dacă este aplicabil);</w:t>
      </w:r>
    </w:p>
    <w:p w14:paraId="6452DBC2">
      <w:pPr>
        <w:pStyle w:val="56"/>
        <w:widowControl w:val="0"/>
        <w:numPr>
          <w:ilvl w:val="1"/>
          <w:numId w:val="8"/>
        </w:numPr>
        <w:spacing w:before="120" w:after="120"/>
        <w:ind w:left="567"/>
        <w:jc w:val="both"/>
        <w:rPr>
          <w:iCs/>
          <w:spacing w:val="-6"/>
          <w:sz w:val="22"/>
          <w:szCs w:val="22"/>
        </w:rPr>
      </w:pPr>
      <w:r>
        <w:rPr>
          <w:iCs/>
          <w:spacing w:val="-6"/>
          <w:sz w:val="22"/>
          <w:szCs w:val="22"/>
        </w:rPr>
        <w:t>ambalaje, inclusiv furnizarea de material protector pentru transport (carton, cutii, lăzi etc.);</w:t>
      </w:r>
    </w:p>
    <w:p w14:paraId="59C58594">
      <w:pPr>
        <w:pStyle w:val="56"/>
        <w:widowControl w:val="0"/>
        <w:numPr>
          <w:ilvl w:val="1"/>
          <w:numId w:val="8"/>
        </w:numPr>
        <w:spacing w:before="120" w:after="120"/>
        <w:ind w:left="567"/>
        <w:jc w:val="both"/>
        <w:rPr>
          <w:iCs/>
          <w:spacing w:val="-6"/>
          <w:sz w:val="22"/>
          <w:szCs w:val="22"/>
        </w:rPr>
      </w:pPr>
      <w:r>
        <w:rPr>
          <w:iCs/>
          <w:spacing w:val="-6"/>
          <w:sz w:val="22"/>
          <w:szCs w:val="22"/>
        </w:rPr>
        <w:t>transport prin intermediul transportatorului, inclusiv de transport internațional (dacă este aplicabil);</w:t>
      </w:r>
    </w:p>
    <w:p w14:paraId="09A27262">
      <w:pPr>
        <w:pStyle w:val="56"/>
        <w:widowControl w:val="0"/>
        <w:numPr>
          <w:ilvl w:val="1"/>
          <w:numId w:val="8"/>
        </w:numPr>
        <w:spacing w:before="120" w:after="120"/>
        <w:ind w:left="567"/>
        <w:jc w:val="both"/>
        <w:rPr>
          <w:iCs/>
          <w:spacing w:val="-6"/>
          <w:sz w:val="22"/>
          <w:szCs w:val="22"/>
        </w:rPr>
      </w:pPr>
      <w:r>
        <w:rPr>
          <w:iCs/>
          <w:spacing w:val="-6"/>
          <w:sz w:val="22"/>
          <w:szCs w:val="22"/>
        </w:rPr>
        <w:t>constatarea defectelor, inclusiv costurile de personal;</w:t>
      </w:r>
    </w:p>
    <w:p w14:paraId="380AD77E">
      <w:pPr>
        <w:pStyle w:val="56"/>
        <w:widowControl w:val="0"/>
        <w:numPr>
          <w:ilvl w:val="1"/>
          <w:numId w:val="8"/>
        </w:numPr>
        <w:spacing w:before="120" w:after="120"/>
        <w:ind w:left="567"/>
        <w:jc w:val="both"/>
        <w:rPr>
          <w:iCs/>
          <w:spacing w:val="-6"/>
          <w:sz w:val="22"/>
          <w:szCs w:val="22"/>
        </w:rPr>
      </w:pPr>
      <w:r>
        <w:rPr>
          <w:iCs/>
          <w:spacing w:val="-6"/>
          <w:sz w:val="22"/>
          <w:szCs w:val="22"/>
        </w:rPr>
        <w:t>repararea tuturor componentelor defecte sau furnizarea unor noi componente;</w:t>
      </w:r>
    </w:p>
    <w:p w14:paraId="12F9D7F7">
      <w:pPr>
        <w:pStyle w:val="56"/>
        <w:widowControl w:val="0"/>
        <w:numPr>
          <w:ilvl w:val="1"/>
          <w:numId w:val="8"/>
        </w:numPr>
        <w:spacing w:before="120" w:after="120"/>
        <w:ind w:left="567"/>
        <w:jc w:val="both"/>
        <w:rPr>
          <w:iCs/>
          <w:spacing w:val="-6"/>
          <w:sz w:val="22"/>
          <w:szCs w:val="22"/>
        </w:rPr>
      </w:pPr>
      <w:r>
        <w:rPr>
          <w:iCs/>
          <w:spacing w:val="-6"/>
          <w:sz w:val="22"/>
          <w:szCs w:val="22"/>
        </w:rPr>
        <w:t>înlocuirea parților defecte;</w:t>
      </w:r>
    </w:p>
    <w:p w14:paraId="15DED462">
      <w:pPr>
        <w:pStyle w:val="56"/>
        <w:widowControl w:val="0"/>
        <w:numPr>
          <w:ilvl w:val="1"/>
          <w:numId w:val="8"/>
        </w:numPr>
        <w:spacing w:before="120" w:after="120"/>
        <w:ind w:left="567"/>
        <w:jc w:val="both"/>
        <w:rPr>
          <w:iCs/>
          <w:spacing w:val="-6"/>
          <w:sz w:val="22"/>
          <w:szCs w:val="22"/>
        </w:rPr>
      </w:pPr>
      <w:r>
        <w:rPr>
          <w:iCs/>
          <w:spacing w:val="-6"/>
          <w:sz w:val="22"/>
          <w:szCs w:val="22"/>
        </w:rPr>
        <w:t>despachetarea, inclusiv curățarea spațiilor unde se efectuează intervenția;</w:t>
      </w:r>
    </w:p>
    <w:p w14:paraId="2086692D">
      <w:pPr>
        <w:pStyle w:val="56"/>
        <w:widowControl w:val="0"/>
        <w:numPr>
          <w:ilvl w:val="1"/>
          <w:numId w:val="8"/>
        </w:numPr>
        <w:spacing w:before="120" w:after="120"/>
        <w:ind w:left="567"/>
        <w:jc w:val="both"/>
        <w:rPr>
          <w:iCs/>
          <w:spacing w:val="-6"/>
          <w:sz w:val="22"/>
          <w:szCs w:val="22"/>
        </w:rPr>
      </w:pPr>
      <w:r>
        <w:rPr>
          <w:iCs/>
          <w:spacing w:val="-6"/>
          <w:sz w:val="22"/>
          <w:szCs w:val="22"/>
        </w:rPr>
        <w:t xml:space="preserve">repunerea în funcțiune/darea in folosința a  </w:t>
      </w:r>
      <w:r>
        <w:rPr>
          <w:iCs/>
          <w:color w:val="auto"/>
          <w:spacing w:val="-6"/>
          <w:sz w:val="22"/>
          <w:szCs w:val="22"/>
        </w:rPr>
        <w:t>respectivelor produse.</w:t>
      </w:r>
    </w:p>
    <w:p w14:paraId="5F7DB851">
      <w:pPr>
        <w:widowControl w:val="0"/>
        <w:spacing w:before="120" w:after="120"/>
        <w:jc w:val="both"/>
        <w:rPr>
          <w:iCs/>
          <w:spacing w:val="-6"/>
          <w:sz w:val="22"/>
          <w:szCs w:val="22"/>
          <w:lang w:val="ro-RO"/>
        </w:rPr>
      </w:pPr>
      <w:r>
        <w:rPr>
          <w:b/>
          <w:iCs/>
          <w:spacing w:val="-6"/>
          <w:sz w:val="22"/>
          <w:szCs w:val="22"/>
          <w:lang w:val="ro-RO"/>
        </w:rPr>
        <w:t>În perioada de garanție</w:t>
      </w:r>
      <w:r>
        <w:rPr>
          <w:iCs/>
          <w:spacing w:val="-6"/>
          <w:sz w:val="22"/>
          <w:szCs w:val="22"/>
          <w:lang w:val="ro-RO"/>
        </w:rPr>
        <w:t xml:space="preserve"> timpul maxim de intervenție pentru remedierea oricărei defecțiuni va fi de maxim 96 de ore de la notificarea acesteia de către beneficiar, iar termenul de repunere a produsului în stare deplină de funcționare la sediul beneficiarului, va fi de 96 de ore (după caz) de la notificare, pe întreaga durată de garanție. Produsele cu defecte iremediabile, care nu se datorează utilizării greșite, vor fi înlocuite. </w:t>
      </w:r>
    </w:p>
    <w:p w14:paraId="7514D483">
      <w:pPr>
        <w:widowControl w:val="0"/>
        <w:spacing w:before="120" w:after="120"/>
        <w:jc w:val="both"/>
        <w:rPr>
          <w:iCs/>
          <w:spacing w:val="-6"/>
          <w:sz w:val="22"/>
          <w:szCs w:val="22"/>
          <w:lang w:val="ro-RO"/>
        </w:rPr>
      </w:pPr>
      <w:r>
        <w:rPr>
          <w:iCs/>
          <w:spacing w:val="-6"/>
          <w:sz w:val="22"/>
          <w:szCs w:val="22"/>
          <w:lang w:val="ro-RO"/>
        </w:rPr>
        <w:t>Termenul de garanție de bună funcționare a produsului se referă la toate componentele acestuia și se acordă indiferent de numărul de ore de utilizare sau alți parametri tehnici.  Ofertantul va prezenta o descriere a condițiilor de acordare a garanției.</w:t>
      </w:r>
    </w:p>
    <w:p w14:paraId="3B29A4AB">
      <w:pPr>
        <w:pStyle w:val="28"/>
        <w:shd w:val="clear" w:color="auto" w:fill="auto"/>
        <w:spacing w:before="120" w:after="120" w:line="240" w:lineRule="auto"/>
        <w:ind w:right="23" w:firstLine="0"/>
        <w:rPr>
          <w:spacing w:val="-6"/>
          <w:sz w:val="22"/>
          <w:szCs w:val="22"/>
        </w:rPr>
      </w:pPr>
      <w:r>
        <w:rPr>
          <w:spacing w:val="-6"/>
          <w:sz w:val="22"/>
          <w:szCs w:val="22"/>
        </w:rPr>
        <w:t xml:space="preserve">Pentru scopul acestei proceduri, noțiunea de „defect” trebuie interpretată ca un comportament al produsului diferit de </w:t>
      </w:r>
      <w:r>
        <w:rPr>
          <w:iCs/>
          <w:spacing w:val="-6"/>
          <w:sz w:val="22"/>
          <w:szCs w:val="22"/>
        </w:rPr>
        <w:t xml:space="preserve">parametrii agreați de părți, </w:t>
      </w:r>
      <w:r>
        <w:rPr>
          <w:spacing w:val="-6"/>
          <w:sz w:val="22"/>
          <w:szCs w:val="22"/>
        </w:rPr>
        <w:t>având ca referință pentru determinarea defectelor specificațiile minime prevăzute în caietul de sarcini.</w:t>
      </w:r>
    </w:p>
    <w:p w14:paraId="479F105C">
      <w:pPr>
        <w:pStyle w:val="28"/>
        <w:shd w:val="clear" w:color="auto" w:fill="auto"/>
        <w:spacing w:line="240" w:lineRule="auto"/>
        <w:ind w:left="20" w:right="20" w:firstLine="360"/>
        <w:contextualSpacing/>
        <w:rPr>
          <w:sz w:val="22"/>
          <w:szCs w:val="22"/>
        </w:rPr>
      </w:pPr>
    </w:p>
    <w:p w14:paraId="3C4363E7">
      <w:pPr>
        <w:pStyle w:val="4"/>
        <w:numPr>
          <w:ilvl w:val="1"/>
          <w:numId w:val="3"/>
        </w:numPr>
        <w:spacing w:before="120" w:after="120" w:line="240" w:lineRule="auto"/>
        <w:contextualSpacing w:val="0"/>
        <w:rPr>
          <w:sz w:val="22"/>
          <w:szCs w:val="22"/>
          <w:lang w:val="ro-RO"/>
        </w:rPr>
      </w:pPr>
      <w:bookmarkStart w:id="21" w:name="_Toc16134"/>
      <w:r>
        <w:rPr>
          <w:sz w:val="22"/>
          <w:szCs w:val="22"/>
          <w:lang w:val="ro-RO"/>
        </w:rPr>
        <w:t>Livrare, ambalare, etichetare, transport</w:t>
      </w:r>
      <w:bookmarkEnd w:id="21"/>
    </w:p>
    <w:p w14:paraId="005C5D87">
      <w:pPr>
        <w:spacing w:before="120" w:after="120"/>
        <w:jc w:val="both"/>
        <w:rPr>
          <w:spacing w:val="-6"/>
          <w:sz w:val="22"/>
          <w:szCs w:val="22"/>
          <w:lang w:val="ro-RO"/>
        </w:rPr>
      </w:pPr>
      <w:r>
        <w:rPr>
          <w:spacing w:val="-6"/>
          <w:sz w:val="22"/>
          <w:szCs w:val="22"/>
          <w:lang w:val="ro-RO"/>
        </w:rPr>
        <w:t>Produsele contractate se vor livra la adresele unităților de învățământ menționate în cadrul capitolului 2.6 în zile lucrătoare, între orele 8:00 - 15:00 (de luni până vineri) în conformitate cu graficul de livrare ofertat. Adresele pentru livrarea produselor sunt următoarele:</w:t>
      </w:r>
    </w:p>
    <w:tbl>
      <w:tblPr>
        <w:tblStyle w:val="8"/>
        <w:tblW w:w="502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80"/>
        <w:gridCol w:w="4292"/>
        <w:gridCol w:w="4933"/>
      </w:tblGrid>
      <w:tr w14:paraId="13441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2" w:hRule="atLeast"/>
        </w:trPr>
        <w:tc>
          <w:tcPr>
            <w:tcW w:w="296" w:type="pct"/>
            <w:vAlign w:val="center"/>
          </w:tcPr>
          <w:p w14:paraId="727CB7E4">
            <w:pPr>
              <w:pStyle w:val="64"/>
              <w:ind w:left="107"/>
              <w:jc w:val="center"/>
              <w:rPr>
                <w:rFonts w:ascii="Times New Roman" w:hAnsi="Times New Roman" w:cs="Times New Roman"/>
                <w:b/>
                <w:bCs/>
                <w:sz w:val="22"/>
                <w:szCs w:val="22"/>
              </w:rPr>
            </w:pPr>
            <w:r>
              <w:rPr>
                <w:rFonts w:ascii="Times New Roman" w:hAnsi="Times New Roman" w:cs="Times New Roman"/>
                <w:b/>
                <w:bCs/>
                <w:sz w:val="22"/>
                <w:szCs w:val="22"/>
              </w:rPr>
              <w:t>Nr. Crt.</w:t>
            </w:r>
          </w:p>
        </w:tc>
        <w:tc>
          <w:tcPr>
            <w:tcW w:w="2188" w:type="pct"/>
            <w:vAlign w:val="center"/>
          </w:tcPr>
          <w:p w14:paraId="35A79A58">
            <w:pPr>
              <w:pStyle w:val="64"/>
              <w:ind w:left="107"/>
              <w:jc w:val="center"/>
              <w:rPr>
                <w:rFonts w:ascii="Times New Roman" w:hAnsi="Times New Roman" w:cs="Times New Roman"/>
                <w:b/>
                <w:bCs/>
                <w:sz w:val="22"/>
                <w:szCs w:val="22"/>
              </w:rPr>
            </w:pPr>
            <w:r>
              <w:rPr>
                <w:rFonts w:ascii="Times New Roman" w:hAnsi="Times New Roman" w:cs="Times New Roman"/>
                <w:b/>
                <w:bCs/>
                <w:sz w:val="22"/>
                <w:szCs w:val="22"/>
              </w:rPr>
              <w:t>Unitatea de învățământ</w:t>
            </w:r>
          </w:p>
        </w:tc>
        <w:tc>
          <w:tcPr>
            <w:tcW w:w="2515" w:type="pct"/>
            <w:vAlign w:val="center"/>
          </w:tcPr>
          <w:p w14:paraId="79D8F536">
            <w:pPr>
              <w:pStyle w:val="64"/>
              <w:ind w:left="107"/>
              <w:jc w:val="center"/>
              <w:rPr>
                <w:rFonts w:ascii="Times New Roman" w:hAnsi="Times New Roman" w:cs="Times New Roman"/>
                <w:b/>
                <w:bCs/>
                <w:sz w:val="22"/>
                <w:szCs w:val="22"/>
              </w:rPr>
            </w:pPr>
            <w:r>
              <w:rPr>
                <w:rFonts w:ascii="Times New Roman" w:hAnsi="Times New Roman" w:cs="Times New Roman"/>
                <w:b/>
                <w:bCs/>
                <w:sz w:val="22"/>
                <w:szCs w:val="22"/>
              </w:rPr>
              <w:t>Adresă</w:t>
            </w:r>
          </w:p>
        </w:tc>
      </w:tr>
      <w:tr w14:paraId="62110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96" w:type="pct"/>
            <w:vAlign w:val="center"/>
          </w:tcPr>
          <w:p w14:paraId="78422FE8">
            <w:pPr>
              <w:pStyle w:val="64"/>
              <w:ind w:left="107"/>
              <w:jc w:val="both"/>
              <w:rPr>
                <w:rFonts w:hint="default" w:ascii="Times New Roman" w:hAnsi="Times New Roman" w:cs="Times New Roman"/>
                <w:spacing w:val="-6"/>
                <w:sz w:val="22"/>
                <w:szCs w:val="22"/>
                <w:lang w:val="en-US"/>
              </w:rPr>
            </w:pPr>
            <w:r>
              <w:rPr>
                <w:rFonts w:hint="default" w:ascii="Times New Roman" w:hAnsi="Times New Roman" w:cs="Times New Roman"/>
                <w:spacing w:val="-6"/>
                <w:sz w:val="22"/>
                <w:szCs w:val="22"/>
                <w:lang w:val="en-US"/>
              </w:rPr>
              <w:t>1</w:t>
            </w:r>
          </w:p>
        </w:tc>
        <w:tc>
          <w:tcPr>
            <w:tcW w:w="2188" w:type="pct"/>
            <w:vAlign w:val="center"/>
          </w:tcPr>
          <w:p w14:paraId="1E34BE76">
            <w:pPr>
              <w:pStyle w:val="64"/>
              <w:ind w:left="107" w:right="135"/>
              <w:jc w:val="both"/>
              <w:rPr>
                <w:rFonts w:ascii="Times New Roman" w:hAnsi="Times New Roman" w:cs="Times New Roman"/>
                <w:spacing w:val="-6"/>
                <w:sz w:val="22"/>
                <w:szCs w:val="22"/>
              </w:rPr>
            </w:pPr>
            <w:r>
              <w:rPr>
                <w:rFonts w:ascii="Times New Roman" w:hAnsi="Times New Roman" w:cs="Times New Roman"/>
                <w:spacing w:val="-6"/>
                <w:sz w:val="22"/>
                <w:szCs w:val="22"/>
              </w:rPr>
              <w:t>Liceul de Arte „Ionel Perlea”</w:t>
            </w:r>
          </w:p>
        </w:tc>
        <w:tc>
          <w:tcPr>
            <w:tcW w:w="2515" w:type="pct"/>
            <w:vAlign w:val="center"/>
          </w:tcPr>
          <w:p w14:paraId="687B6CFD">
            <w:pPr>
              <w:pStyle w:val="64"/>
              <w:ind w:left="107" w:right="135"/>
              <w:jc w:val="both"/>
              <w:rPr>
                <w:rFonts w:ascii="Times New Roman" w:hAnsi="Times New Roman" w:cs="Times New Roman"/>
                <w:spacing w:val="-6"/>
                <w:sz w:val="22"/>
                <w:szCs w:val="22"/>
              </w:rPr>
            </w:pPr>
            <w:r>
              <w:rPr>
                <w:rFonts w:ascii="Times New Roman" w:hAnsi="Times New Roman" w:cs="Times New Roman"/>
                <w:spacing w:val="-6"/>
                <w:sz w:val="22"/>
                <w:szCs w:val="22"/>
              </w:rPr>
              <w:t>Str. Mihail Eminescu, nr. 3</w:t>
            </w:r>
          </w:p>
        </w:tc>
      </w:tr>
      <w:tr w14:paraId="11105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96" w:type="pct"/>
            <w:vAlign w:val="center"/>
          </w:tcPr>
          <w:p w14:paraId="35FF0D2F">
            <w:pPr>
              <w:pStyle w:val="64"/>
              <w:ind w:left="107"/>
              <w:jc w:val="both"/>
              <w:rPr>
                <w:rFonts w:hint="default" w:ascii="Times New Roman" w:hAnsi="Times New Roman" w:cs="Times New Roman"/>
                <w:spacing w:val="-6"/>
                <w:sz w:val="22"/>
                <w:szCs w:val="22"/>
                <w:lang w:val="en-US"/>
              </w:rPr>
            </w:pPr>
            <w:r>
              <w:rPr>
                <w:rFonts w:hint="default" w:ascii="Times New Roman" w:hAnsi="Times New Roman" w:cs="Times New Roman"/>
                <w:spacing w:val="-6"/>
                <w:sz w:val="22"/>
                <w:szCs w:val="22"/>
                <w:lang w:val="en-US"/>
              </w:rPr>
              <w:t>2</w:t>
            </w:r>
          </w:p>
        </w:tc>
        <w:tc>
          <w:tcPr>
            <w:tcW w:w="2188" w:type="pct"/>
            <w:vAlign w:val="center"/>
          </w:tcPr>
          <w:p w14:paraId="14A98BA2">
            <w:pPr>
              <w:pStyle w:val="64"/>
              <w:ind w:left="107" w:right="135"/>
              <w:jc w:val="both"/>
              <w:rPr>
                <w:rFonts w:ascii="Times New Roman" w:hAnsi="Times New Roman" w:cs="Times New Roman"/>
                <w:spacing w:val="-6"/>
                <w:sz w:val="22"/>
                <w:szCs w:val="22"/>
              </w:rPr>
            </w:pPr>
            <w:r>
              <w:rPr>
                <w:rFonts w:ascii="Times New Roman" w:hAnsi="Times New Roman" w:cs="Times New Roman"/>
                <w:spacing w:val="-6"/>
                <w:sz w:val="22"/>
                <w:szCs w:val="22"/>
              </w:rPr>
              <w:t>Seminarul Teologic Ortodox „Sfântul Ioan Gură de Aur”</w:t>
            </w:r>
          </w:p>
        </w:tc>
        <w:tc>
          <w:tcPr>
            <w:tcW w:w="2515" w:type="pct"/>
            <w:vAlign w:val="center"/>
          </w:tcPr>
          <w:p w14:paraId="475E8B3C">
            <w:pPr>
              <w:pStyle w:val="64"/>
              <w:ind w:left="107" w:right="135"/>
              <w:jc w:val="both"/>
              <w:rPr>
                <w:rFonts w:ascii="Times New Roman" w:hAnsi="Times New Roman" w:cs="Times New Roman"/>
                <w:spacing w:val="-6"/>
                <w:sz w:val="22"/>
                <w:szCs w:val="22"/>
              </w:rPr>
            </w:pPr>
            <w:r>
              <w:rPr>
                <w:rFonts w:ascii="Times New Roman" w:hAnsi="Times New Roman" w:cs="Times New Roman"/>
                <w:spacing w:val="-6"/>
                <w:sz w:val="22"/>
                <w:szCs w:val="22"/>
              </w:rPr>
              <w:t>Str. Alexandru Odobescu, nr. 2</w:t>
            </w:r>
          </w:p>
        </w:tc>
      </w:tr>
      <w:tr w14:paraId="52F75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296" w:type="pct"/>
            <w:vAlign w:val="center"/>
          </w:tcPr>
          <w:p w14:paraId="58E684BA">
            <w:pPr>
              <w:pStyle w:val="64"/>
              <w:ind w:left="107"/>
              <w:jc w:val="both"/>
              <w:rPr>
                <w:rFonts w:hint="default" w:ascii="Times New Roman" w:hAnsi="Times New Roman" w:cs="Times New Roman"/>
                <w:spacing w:val="-6"/>
                <w:sz w:val="22"/>
                <w:szCs w:val="22"/>
                <w:lang w:val="en-US"/>
              </w:rPr>
            </w:pPr>
            <w:r>
              <w:rPr>
                <w:rFonts w:hint="default" w:ascii="Times New Roman" w:hAnsi="Times New Roman" w:cs="Times New Roman"/>
                <w:spacing w:val="-6"/>
                <w:sz w:val="22"/>
                <w:szCs w:val="22"/>
                <w:lang w:val="en-US"/>
              </w:rPr>
              <w:t>3</w:t>
            </w:r>
          </w:p>
        </w:tc>
        <w:tc>
          <w:tcPr>
            <w:tcW w:w="2188" w:type="pct"/>
            <w:vAlign w:val="center"/>
          </w:tcPr>
          <w:p w14:paraId="1E7EBA4D">
            <w:pPr>
              <w:pStyle w:val="64"/>
              <w:ind w:left="107" w:right="135"/>
              <w:jc w:val="both"/>
              <w:rPr>
                <w:rFonts w:ascii="Times New Roman" w:hAnsi="Times New Roman" w:cs="Times New Roman"/>
                <w:spacing w:val="-6"/>
                <w:sz w:val="22"/>
                <w:szCs w:val="22"/>
              </w:rPr>
            </w:pPr>
            <w:r>
              <w:rPr>
                <w:rFonts w:ascii="Times New Roman" w:hAnsi="Times New Roman" w:cs="Times New Roman"/>
                <w:spacing w:val="-6"/>
                <w:sz w:val="22"/>
                <w:szCs w:val="22"/>
              </w:rPr>
              <w:t>Palatul Copiilor</w:t>
            </w:r>
          </w:p>
        </w:tc>
        <w:tc>
          <w:tcPr>
            <w:tcW w:w="2515" w:type="pct"/>
            <w:vAlign w:val="center"/>
          </w:tcPr>
          <w:p w14:paraId="7EBDD092">
            <w:pPr>
              <w:pStyle w:val="64"/>
              <w:ind w:left="107" w:right="135"/>
              <w:jc w:val="both"/>
              <w:rPr>
                <w:rFonts w:ascii="Times New Roman" w:hAnsi="Times New Roman" w:cs="Times New Roman"/>
                <w:spacing w:val="-6"/>
                <w:sz w:val="22"/>
                <w:szCs w:val="22"/>
              </w:rPr>
            </w:pPr>
            <w:r>
              <w:rPr>
                <w:rFonts w:ascii="Times New Roman" w:hAnsi="Times New Roman" w:cs="Times New Roman"/>
                <w:spacing w:val="-6"/>
                <w:sz w:val="22"/>
                <w:szCs w:val="22"/>
              </w:rPr>
              <w:t>Bulevardul Matei Basarab, nr. 120</w:t>
            </w:r>
          </w:p>
        </w:tc>
      </w:tr>
    </w:tbl>
    <w:p w14:paraId="76F18999">
      <w:pPr>
        <w:spacing w:before="120" w:after="120"/>
        <w:jc w:val="both"/>
        <w:rPr>
          <w:spacing w:val="-6"/>
          <w:sz w:val="22"/>
          <w:szCs w:val="22"/>
          <w:lang w:val="ro-RO"/>
        </w:rPr>
      </w:pPr>
      <w:r>
        <w:rPr>
          <w:spacing w:val="-6"/>
          <w:sz w:val="22"/>
          <w:szCs w:val="22"/>
          <w:lang w:val="ro-RO"/>
        </w:rPr>
        <w:t xml:space="preserve">Distribuția echipamentelor pe unități de învățământ este prezentata în </w:t>
      </w:r>
      <w:r>
        <w:rPr>
          <w:b/>
          <w:bCs/>
          <w:spacing w:val="-6"/>
          <w:sz w:val="22"/>
          <w:szCs w:val="22"/>
          <w:lang w:val="ro-RO"/>
        </w:rPr>
        <w:t>Anexa 1</w:t>
      </w:r>
      <w:r>
        <w:rPr>
          <w:spacing w:val="-6"/>
          <w:sz w:val="22"/>
          <w:szCs w:val="22"/>
          <w:lang w:val="ro-RO"/>
        </w:rPr>
        <w:t xml:space="preserve"> la prezentul caiet de sarcini.</w:t>
      </w:r>
    </w:p>
    <w:p w14:paraId="2B38B3C3">
      <w:pPr>
        <w:spacing w:before="120" w:after="120"/>
        <w:jc w:val="both"/>
        <w:rPr>
          <w:spacing w:val="-6"/>
          <w:sz w:val="22"/>
          <w:szCs w:val="22"/>
          <w:lang w:val="ro-RO"/>
        </w:rPr>
      </w:pPr>
      <w:r>
        <w:rPr>
          <w:spacing w:val="-6"/>
          <w:sz w:val="22"/>
          <w:szCs w:val="22"/>
          <w:lang w:val="ro-RO"/>
        </w:rPr>
        <w:t xml:space="preserve">Termen de livrare a produselor: </w:t>
      </w:r>
      <w:r>
        <w:rPr>
          <w:color w:val="auto"/>
          <w:spacing w:val="-6"/>
          <w:sz w:val="22"/>
          <w:szCs w:val="22"/>
          <w:lang w:val="ro-RO"/>
        </w:rPr>
        <w:t xml:space="preserve">maxim </w:t>
      </w:r>
      <w:r>
        <w:rPr>
          <w:rFonts w:hint="default"/>
          <w:color w:val="auto"/>
          <w:spacing w:val="-6"/>
          <w:sz w:val="22"/>
          <w:szCs w:val="22"/>
          <w:lang w:val="en-US"/>
        </w:rPr>
        <w:t>1</w:t>
      </w:r>
      <w:r>
        <w:rPr>
          <w:color w:val="auto"/>
          <w:spacing w:val="-6"/>
          <w:sz w:val="22"/>
          <w:szCs w:val="22"/>
          <w:lang w:val="ro-RO"/>
        </w:rPr>
        <w:t xml:space="preserve">0 zile </w:t>
      </w:r>
      <w:r>
        <w:rPr>
          <w:spacing w:val="-6"/>
          <w:sz w:val="22"/>
          <w:szCs w:val="22"/>
          <w:lang w:val="ro-RO"/>
        </w:rPr>
        <w:t>de la data lansării comenzii, ulterior constituirii garanției de bună execuție a contractului de achiziție publică. Lansarea comenzii se va realiza după constituire garanției de bună execuție valabilă, în condițiile legii. Fiecare produs va fi însoțit de toate subansamblele/ părțile componente necesare punerii și menținerii în funcțiune.</w:t>
      </w:r>
    </w:p>
    <w:p w14:paraId="3954F903">
      <w:pPr>
        <w:spacing w:before="120" w:after="120"/>
        <w:jc w:val="both"/>
        <w:rPr>
          <w:spacing w:val="-6"/>
          <w:sz w:val="22"/>
          <w:szCs w:val="22"/>
          <w:lang w:val="ro-RO"/>
        </w:rPr>
      </w:pPr>
      <w:r>
        <w:rPr>
          <w:spacing w:val="-6"/>
          <w:sz w:val="22"/>
          <w:szCs w:val="22"/>
          <w:lang w:val="ro-RO"/>
        </w:rPr>
        <w:t xml:space="preserve">Un produs este considerat livrat când toate activitățile în cadrul contractului au fost realizate și produsul este instalat, funcționează la parametrii agreați, este acceptat de Autoritatea Contractantă și a fost efectuată instruirea personalului, </w:t>
      </w:r>
      <w:r>
        <w:rPr>
          <w:color w:val="auto"/>
          <w:spacing w:val="-6"/>
          <w:sz w:val="22"/>
          <w:szCs w:val="22"/>
          <w:lang w:val="ro-RO"/>
        </w:rPr>
        <w:t>acolo unde este cazul.</w:t>
      </w:r>
      <w:r>
        <w:rPr>
          <w:spacing w:val="-6"/>
          <w:sz w:val="22"/>
          <w:szCs w:val="22"/>
          <w:lang w:val="ro-RO"/>
        </w:rPr>
        <w:t xml:space="preserve"> Contractantul va ambala și eticheta corespunzător produsele furnizate astfel încât să prevină orice daună sau deteriorare în timpul transportului acestora către destinația stabilită.</w:t>
      </w:r>
    </w:p>
    <w:p w14:paraId="0BE1B246">
      <w:pPr>
        <w:spacing w:before="120" w:after="120"/>
        <w:jc w:val="both"/>
        <w:rPr>
          <w:spacing w:val="-6"/>
          <w:sz w:val="22"/>
          <w:szCs w:val="22"/>
          <w:lang w:val="ro-RO"/>
        </w:rPr>
      </w:pPr>
      <w:r>
        <w:rPr>
          <w:color w:val="auto"/>
          <w:spacing w:val="-6"/>
          <w:sz w:val="22"/>
          <w:szCs w:val="22"/>
          <w:lang w:val="ro-RO"/>
        </w:rPr>
        <w:t>Pe durata transportului, produsele vor fi asigurate de către furnizor, pe cheltuiala acestuia împotriva pierderii sau deteriorării intervenite pe parcursul transportului și cauzate de orice factor extern, c</w:t>
      </w:r>
      <w:r>
        <w:rPr>
          <w:spacing w:val="-6"/>
          <w:sz w:val="22"/>
          <w:szCs w:val="22"/>
          <w:lang w:val="ro-RO"/>
        </w:rPr>
        <w:t xml:space="preserve">ontravaloarea acestora fiind inclusă în prețul ofertat. Toate costurile ce decurg din sau în legătură cu încheierea și menținerea Asigurărilor Contractantului stabilită în prezentul </w:t>
      </w:r>
      <w:r>
        <w:rPr>
          <w:b/>
          <w:bCs/>
          <w:spacing w:val="-6"/>
          <w:sz w:val="22"/>
          <w:szCs w:val="22"/>
          <w:lang w:val="ro-RO"/>
        </w:rPr>
        <w:t>Caiet de Sarcini</w:t>
      </w:r>
      <w:r>
        <w:rPr>
          <w:spacing w:val="-6"/>
          <w:sz w:val="22"/>
          <w:szCs w:val="22"/>
          <w:lang w:val="ro-RO"/>
        </w:rPr>
        <w:t xml:space="preserve">  se suportă de către Contractant.</w:t>
      </w:r>
    </w:p>
    <w:p w14:paraId="6C80D429">
      <w:pPr>
        <w:spacing w:before="120" w:after="120"/>
        <w:jc w:val="both"/>
        <w:rPr>
          <w:spacing w:val="-6"/>
          <w:sz w:val="22"/>
          <w:szCs w:val="22"/>
          <w:lang w:val="ro-RO"/>
        </w:rPr>
      </w:pPr>
      <w:r>
        <w:rPr>
          <w:spacing w:val="-6"/>
          <w:sz w:val="22"/>
          <w:szCs w:val="22"/>
          <w:lang w:val="ro-RO"/>
        </w:rPr>
        <w:t>Furnizorul are obligația de a ambala produsul astfel încât să reziste, fără limitare, manipulării accidentale, expunerii la temperaturi extreme și precipitațiilor din timpul transportului și depozitării în locuri deschise, în așa fel încât să ajungă în bună stare la destinația finală. În stabilirea mărimii și greutății ambalajului furnizorul va lua în considerare, acolo unde este cazul, distanța față de destinația finală a produselor furnizate și eventuala absență a facilităților de manipulare la punctele de tranzitare.</w:t>
      </w:r>
    </w:p>
    <w:p w14:paraId="25581398">
      <w:pPr>
        <w:spacing w:before="120" w:after="120"/>
        <w:jc w:val="both"/>
        <w:rPr>
          <w:spacing w:val="-6"/>
          <w:sz w:val="22"/>
          <w:szCs w:val="22"/>
          <w:lang w:val="ro-RO"/>
        </w:rPr>
      </w:pPr>
      <w:r>
        <w:rPr>
          <w:spacing w:val="-6"/>
          <w:sz w:val="22"/>
          <w:szCs w:val="22"/>
          <w:lang w:val="ro-RO"/>
        </w:rPr>
        <w:t>Transportul se va realiza conform legislației naționale și internaționale în vigoare, în condiții care să asigure integritatea ambalajelor și menținerea calității produselor. Transportul și toate costurile asociate sunt în sarcina exclusivă a furnizorului. Produsele vor fi asigurate împotriva pierderii sau deteriorării intervenite pe parcursul transportului și cauzate de orice factor extern.</w:t>
      </w:r>
    </w:p>
    <w:p w14:paraId="3EF47ADF">
      <w:pPr>
        <w:spacing w:before="120" w:after="120"/>
        <w:jc w:val="both"/>
        <w:rPr>
          <w:b/>
          <w:bCs/>
          <w:spacing w:val="-6"/>
          <w:sz w:val="22"/>
          <w:szCs w:val="22"/>
          <w:lang w:val="ro-RO"/>
        </w:rPr>
      </w:pPr>
      <w:r>
        <w:rPr>
          <w:b/>
          <w:bCs/>
          <w:spacing w:val="-6"/>
          <w:sz w:val="22"/>
          <w:szCs w:val="22"/>
          <w:lang w:val="ro-RO"/>
        </w:rPr>
        <w:t>Livrarea produselor se va realiza în conformitate cu regula INCOTERMS DDP (Delivery Duty Paid) – prin care vânzătorul își îndeplinește obligația de livrare în momentul în care a fost pusă la dispoziția cumpărătorului, la locul indicat. De asemenea, vânzătorul își asumă responsabilitatea totală și toate costurile (inclusiv taxele vamale și asigurarea bunurilor) pentru livrarea mărfii până la destinația indicată de cumpărător.</w:t>
      </w:r>
    </w:p>
    <w:p w14:paraId="441A8FE2">
      <w:pPr>
        <w:spacing w:before="120" w:after="120"/>
        <w:jc w:val="both"/>
        <w:rPr>
          <w:color w:val="auto"/>
          <w:spacing w:val="-6"/>
          <w:sz w:val="22"/>
          <w:szCs w:val="22"/>
          <w:lang w:val="ro-RO"/>
        </w:rPr>
      </w:pPr>
      <w:r>
        <w:rPr>
          <w:color w:val="auto"/>
          <w:spacing w:val="-6"/>
          <w:sz w:val="22"/>
          <w:szCs w:val="22"/>
          <w:lang w:val="ro-RO"/>
        </w:rPr>
        <w:t>Contractantul este responsabil pentru livrarea în termenul agreat a produselor și se consideră că a luat în considerare toate dificultățile pe care le-ar putea întâmpina în acest sens și nu va invoca nici un motiv de întârziere sau costuri suplimentare.</w:t>
      </w:r>
    </w:p>
    <w:p w14:paraId="4A0EA6E5">
      <w:pPr>
        <w:spacing w:before="120" w:after="120"/>
        <w:jc w:val="both"/>
        <w:rPr>
          <w:spacing w:val="-6"/>
          <w:sz w:val="22"/>
          <w:szCs w:val="22"/>
          <w:lang w:val="ro-RO"/>
        </w:rPr>
      </w:pPr>
      <w:r>
        <w:rPr>
          <w:spacing w:val="-6"/>
          <w:sz w:val="22"/>
          <w:szCs w:val="22"/>
          <w:lang w:val="ro-RO"/>
        </w:rPr>
        <w:t>Pentru nerespectarea termenului de livrare a cantităților agreate în perioada de derulare a contractului se vor percepe daune-interese conform prevederilor din contract. Livrarea se va asigura pe cheltuiala contractantului, iar contravaloarea tuturor acestor costuri va fi inclusă în prețul ofertat.</w:t>
      </w:r>
    </w:p>
    <w:p w14:paraId="4B815B00">
      <w:pPr>
        <w:spacing w:before="120" w:after="120"/>
        <w:jc w:val="both"/>
        <w:rPr>
          <w:spacing w:val="-6"/>
          <w:sz w:val="22"/>
          <w:szCs w:val="22"/>
          <w:lang w:val="ro-RO"/>
        </w:rPr>
      </w:pPr>
      <w:r>
        <w:rPr>
          <w:spacing w:val="-6"/>
          <w:sz w:val="22"/>
          <w:szCs w:val="22"/>
          <w:lang w:val="ro-RO"/>
        </w:rPr>
        <w:t xml:space="preserve"> În cazul în care specificațiile tehnice ale produselor livrate nu corespund cu caracteristicile din documentația de atribuire, precum și cu cele prevăzute în Propunerea tehnică, contractantul are obligația de a înlocui acel produs cu un produs conform în maximum 48 de ore de la notificare.</w:t>
      </w:r>
    </w:p>
    <w:p w14:paraId="3C8CEF5C">
      <w:pPr>
        <w:spacing w:before="120" w:after="120"/>
        <w:jc w:val="both"/>
        <w:rPr>
          <w:spacing w:val="-6"/>
          <w:sz w:val="22"/>
          <w:szCs w:val="22"/>
          <w:lang w:val="ro-RO"/>
        </w:rPr>
      </w:pPr>
    </w:p>
    <w:p w14:paraId="05C76688">
      <w:pPr>
        <w:pStyle w:val="4"/>
        <w:numPr>
          <w:ilvl w:val="1"/>
          <w:numId w:val="3"/>
        </w:numPr>
        <w:spacing w:before="120" w:after="120" w:line="240" w:lineRule="auto"/>
        <w:contextualSpacing w:val="0"/>
        <w:rPr>
          <w:sz w:val="22"/>
          <w:szCs w:val="22"/>
          <w:lang w:val="ro-RO"/>
        </w:rPr>
      </w:pPr>
      <w:bookmarkStart w:id="22" w:name="_Toc6332"/>
      <w:r>
        <w:rPr>
          <w:sz w:val="22"/>
          <w:szCs w:val="22"/>
          <w:lang w:val="ro-RO"/>
        </w:rPr>
        <w:t>Operațiuni cu titlu accesoriu</w:t>
      </w:r>
      <w:bookmarkEnd w:id="22"/>
    </w:p>
    <w:p w14:paraId="4DB5152B">
      <w:pPr>
        <w:pStyle w:val="28"/>
        <w:shd w:val="clear" w:color="auto" w:fill="auto"/>
        <w:spacing w:line="240" w:lineRule="auto"/>
        <w:ind w:left="23" w:right="23" w:firstLine="0"/>
        <w:contextualSpacing/>
        <w:rPr>
          <w:color w:val="auto"/>
          <w:spacing w:val="-6"/>
          <w:sz w:val="22"/>
          <w:szCs w:val="22"/>
          <w:lang w:eastAsia="en-GB" w:bidi="ar-SA"/>
        </w:rPr>
      </w:pPr>
      <w:r>
        <w:rPr>
          <w:color w:val="auto"/>
          <w:spacing w:val="-6"/>
          <w:sz w:val="22"/>
          <w:szCs w:val="22"/>
          <w:lang w:eastAsia="en-GB" w:bidi="ar-SA"/>
        </w:rPr>
        <w:t xml:space="preserve">În cadrul contractului de furnizare materiale didactice, activitățile accesorii (montarea, transportul, instruirea, mentenanta, etc) sunt </w:t>
      </w:r>
      <w:r>
        <w:rPr>
          <w:b/>
          <w:bCs/>
          <w:color w:val="auto"/>
          <w:spacing w:val="-6"/>
          <w:sz w:val="22"/>
          <w:szCs w:val="22"/>
          <w:lang w:eastAsia="en-GB" w:bidi="ar-SA"/>
        </w:rPr>
        <w:t>singurele activități accesorii care pot face obiectul subcontractării</w:t>
      </w:r>
      <w:r>
        <w:rPr>
          <w:color w:val="auto"/>
          <w:spacing w:val="-6"/>
          <w:sz w:val="22"/>
          <w:szCs w:val="22"/>
          <w:lang w:eastAsia="en-GB" w:bidi="ar-SA"/>
        </w:rPr>
        <w:t>.</w:t>
      </w:r>
    </w:p>
    <w:p w14:paraId="36FA0171">
      <w:pPr>
        <w:pStyle w:val="28"/>
        <w:shd w:val="clear" w:color="auto" w:fill="auto"/>
        <w:spacing w:line="240" w:lineRule="auto"/>
        <w:ind w:left="20" w:right="20" w:firstLine="0"/>
        <w:contextualSpacing/>
        <w:rPr>
          <w:color w:val="auto"/>
          <w:spacing w:val="-6"/>
          <w:sz w:val="22"/>
          <w:szCs w:val="22"/>
          <w:lang w:eastAsia="en-GB" w:bidi="ar-SA"/>
        </w:rPr>
      </w:pPr>
    </w:p>
    <w:p w14:paraId="30161854">
      <w:pPr>
        <w:pStyle w:val="4"/>
        <w:numPr>
          <w:ilvl w:val="2"/>
          <w:numId w:val="3"/>
        </w:numPr>
        <w:spacing w:before="120" w:after="120" w:line="240" w:lineRule="auto"/>
        <w:contextualSpacing w:val="0"/>
        <w:rPr>
          <w:b w:val="0"/>
          <w:bCs w:val="0"/>
          <w:i/>
          <w:iCs/>
          <w:sz w:val="22"/>
          <w:szCs w:val="22"/>
          <w:lang w:val="ro-RO"/>
        </w:rPr>
      </w:pPr>
      <w:bookmarkStart w:id="23" w:name="_Toc25549"/>
      <w:r>
        <w:rPr>
          <w:b w:val="0"/>
          <w:bCs w:val="0"/>
          <w:i/>
          <w:iCs/>
          <w:sz w:val="22"/>
          <w:szCs w:val="22"/>
          <w:lang w:val="ro-RO"/>
        </w:rPr>
        <w:t>Instalare, punere în funcțiune, testare</w:t>
      </w:r>
      <w:bookmarkEnd w:id="23"/>
    </w:p>
    <w:p w14:paraId="5AB024E8">
      <w:pPr>
        <w:pStyle w:val="28"/>
        <w:spacing w:before="120" w:after="120" w:line="240" w:lineRule="auto"/>
        <w:ind w:right="23" w:firstLine="0"/>
        <w:rPr>
          <w:strike/>
          <w:color w:val="auto"/>
          <w:spacing w:val="-6"/>
          <w:sz w:val="22"/>
          <w:szCs w:val="22"/>
          <w:lang w:eastAsia="en-GB" w:bidi="ar-SA"/>
        </w:rPr>
      </w:pPr>
      <w:r>
        <w:rPr>
          <w:color w:val="auto"/>
          <w:spacing w:val="-6"/>
          <w:sz w:val="22"/>
          <w:szCs w:val="22"/>
          <w:lang w:eastAsia="en-GB" w:bidi="ar-SA"/>
        </w:rPr>
        <w:t>Furnizorul va efectua pe cheltuiala sa și fără nici un fel de costuri din partea Autorității contractante toate operatiunile cu titlu de accesoriu mentionate mai sus pentru a asigura funcționarea produsului la parametrii agreați, în cazul acelor produse la care testarea este aplicabilă. Furnizorul rămâne responsabil pentru protejarea produselor luând toate masurile adecvate pentru a preveni lovituri, zgârieturi și alte deteriorări, până la acceptare de către Autoritatea contractantă.</w:t>
      </w:r>
      <w:r>
        <w:rPr>
          <w:strike/>
          <w:color w:val="auto"/>
          <w:spacing w:val="-6"/>
          <w:sz w:val="22"/>
          <w:szCs w:val="22"/>
          <w:lang w:eastAsia="en-GB" w:bidi="ar-SA"/>
        </w:rPr>
        <w:t xml:space="preserve"> </w:t>
      </w:r>
    </w:p>
    <w:p w14:paraId="3284C2AE">
      <w:pPr>
        <w:pStyle w:val="28"/>
        <w:spacing w:before="120" w:after="120" w:line="240" w:lineRule="auto"/>
        <w:ind w:right="23" w:firstLine="0"/>
        <w:rPr>
          <w:color w:val="auto"/>
          <w:spacing w:val="-6"/>
          <w:sz w:val="22"/>
          <w:szCs w:val="22"/>
          <w:lang w:eastAsia="en-GB" w:bidi="ar-SA"/>
        </w:rPr>
      </w:pPr>
      <w:r>
        <w:rPr>
          <w:color w:val="auto"/>
          <w:spacing w:val="-6"/>
          <w:sz w:val="22"/>
          <w:szCs w:val="22"/>
          <w:lang w:eastAsia="en-GB" w:bidi="ar-SA"/>
        </w:rPr>
        <w:t>Furnizorul va asambla / pre-asambla sau va furniza produsele care necesită asamblare, fie în atelierul său fie la locul de instalare indicat de Autoritatea Contractantă.</w:t>
      </w:r>
    </w:p>
    <w:p w14:paraId="2A2D645B">
      <w:pPr>
        <w:pStyle w:val="28"/>
        <w:spacing w:before="120" w:after="120" w:line="240" w:lineRule="auto"/>
        <w:ind w:right="23" w:firstLine="0"/>
        <w:rPr>
          <w:color w:val="auto"/>
          <w:spacing w:val="-6"/>
          <w:sz w:val="22"/>
          <w:szCs w:val="22"/>
          <w:lang w:eastAsia="en-GB" w:bidi="ar-SA"/>
        </w:rPr>
      </w:pPr>
      <w:r>
        <w:rPr>
          <w:color w:val="auto"/>
          <w:spacing w:val="-6"/>
          <w:sz w:val="22"/>
          <w:szCs w:val="22"/>
          <w:lang w:eastAsia="en-GB" w:bidi="ar-SA"/>
        </w:rPr>
        <w:t>Furnizorul trebuie să instaleze toate produsele în mod corespunzător. După livrarea și instalarea produselor, contractantul va elimina toate deșeurile rezultate și va lua măsurile adecvate pentru a aduna toate ambalajele și eliminarea acestora de la locul de instalare. În eventualitatea în care sunt provocate daune de orice natură asupra bunurilor mobile și imobile aparținând Autorității Contractante, Contractorul este obligat să readucă bunul la starea inițială și să suporte toate cheltuielile necesare pentru remedierea/repararea acestuia.</w:t>
      </w:r>
    </w:p>
    <w:p w14:paraId="2A6FB40D">
      <w:pPr>
        <w:pStyle w:val="28"/>
        <w:spacing w:before="120" w:after="120" w:line="240" w:lineRule="auto"/>
        <w:ind w:right="23" w:firstLine="0"/>
        <w:rPr>
          <w:color w:val="auto"/>
          <w:spacing w:val="-6"/>
          <w:sz w:val="22"/>
          <w:szCs w:val="22"/>
          <w:lang w:eastAsia="en-GB" w:bidi="ar-SA"/>
        </w:rPr>
      </w:pPr>
      <w:r>
        <w:rPr>
          <w:color w:val="auto"/>
          <w:spacing w:val="-6"/>
          <w:sz w:val="22"/>
          <w:szCs w:val="22"/>
          <w:lang w:eastAsia="en-GB" w:bidi="ar-SA"/>
        </w:rPr>
        <w:t>Contractantul va efectua testările necesare (costurile acestor activități fiind incluse în cadrul ofertei financiare) pentru a asigura funcționarea produselor la parametrii agreați și în condiții de siguranță pentru elevi (exemplu: protejarea pardoselii la zgârieturi, prin montarea unor dopuri de plastic, etc).</w:t>
      </w:r>
    </w:p>
    <w:p w14:paraId="1A5B2B05">
      <w:pPr>
        <w:pStyle w:val="28"/>
        <w:spacing w:before="120" w:after="120" w:line="240" w:lineRule="auto"/>
        <w:ind w:right="23" w:firstLine="0"/>
        <w:rPr>
          <w:color w:val="auto"/>
          <w:spacing w:val="-6"/>
          <w:sz w:val="22"/>
          <w:szCs w:val="22"/>
          <w:lang w:eastAsia="en-GB" w:bidi="ar-SA"/>
        </w:rPr>
      </w:pPr>
      <w:r>
        <w:rPr>
          <w:color w:val="auto"/>
          <w:spacing w:val="-6"/>
          <w:sz w:val="22"/>
          <w:szCs w:val="22"/>
          <w:lang w:eastAsia="en-GB" w:bidi="ar-SA"/>
        </w:rPr>
        <w:t xml:space="preserve">Contractantul rămâne responsabil pentru protejarea produselor luând toate masurile adecvate pentru a preveni lovituri, zgârieturi și alte deteriorări, până la întocmirea procesului verbal de recepție calitativă, de către Autoritatea Contractantă. </w:t>
      </w:r>
    </w:p>
    <w:p w14:paraId="368E1F8E">
      <w:pPr>
        <w:pStyle w:val="28"/>
        <w:shd w:val="clear" w:color="auto" w:fill="auto"/>
        <w:spacing w:before="120" w:after="120" w:line="240" w:lineRule="auto"/>
        <w:ind w:right="23" w:firstLine="0"/>
        <w:rPr>
          <w:color w:val="auto"/>
          <w:spacing w:val="-6"/>
          <w:sz w:val="22"/>
          <w:szCs w:val="22"/>
          <w:lang w:eastAsia="en-GB" w:bidi="ar-SA"/>
        </w:rPr>
      </w:pPr>
      <w:r>
        <w:rPr>
          <w:color w:val="auto"/>
          <w:spacing w:val="-6"/>
          <w:sz w:val="22"/>
          <w:szCs w:val="22"/>
          <w:lang w:eastAsia="en-GB" w:bidi="ar-SA"/>
        </w:rPr>
        <w:t xml:space="preserve">Costurile necesare montajului, asamblării, instalării, instruirii și punerii în funcțiune vor fi incluse în prețul ofertat. Procesele de instalare, punere în funcțiune și testare se vor finaliza cu proces verbal de </w:t>
      </w:r>
      <w:r>
        <w:rPr>
          <w:rFonts w:hint="default"/>
          <w:color w:val="auto"/>
          <w:spacing w:val="-6"/>
          <w:sz w:val="22"/>
          <w:szCs w:val="22"/>
          <w:lang w:val="en-US" w:eastAsia="en-GB" w:bidi="ar-SA"/>
        </w:rPr>
        <w:t>receptie calitativa</w:t>
      </w:r>
      <w:r>
        <w:rPr>
          <w:color w:val="auto"/>
          <w:spacing w:val="-6"/>
          <w:sz w:val="22"/>
          <w:szCs w:val="22"/>
          <w:lang w:eastAsia="en-GB" w:bidi="ar-SA"/>
        </w:rPr>
        <w:t xml:space="preserve"> și punere în funcțiune.</w:t>
      </w:r>
    </w:p>
    <w:p w14:paraId="055D6208">
      <w:pPr>
        <w:pStyle w:val="28"/>
        <w:shd w:val="clear" w:color="auto" w:fill="auto"/>
        <w:spacing w:line="240" w:lineRule="auto"/>
        <w:ind w:left="20" w:right="20" w:firstLine="360"/>
        <w:contextualSpacing/>
        <w:rPr>
          <w:sz w:val="22"/>
          <w:szCs w:val="22"/>
        </w:rPr>
      </w:pPr>
    </w:p>
    <w:p w14:paraId="66216FCE">
      <w:pPr>
        <w:pStyle w:val="4"/>
        <w:numPr>
          <w:ilvl w:val="1"/>
          <w:numId w:val="3"/>
        </w:numPr>
        <w:spacing w:before="120" w:after="120" w:line="240" w:lineRule="auto"/>
        <w:contextualSpacing w:val="0"/>
        <w:rPr>
          <w:sz w:val="22"/>
          <w:szCs w:val="22"/>
          <w:lang w:val="ro-RO"/>
        </w:rPr>
      </w:pPr>
      <w:bookmarkStart w:id="24" w:name="_Toc8882"/>
      <w:r>
        <w:rPr>
          <w:sz w:val="22"/>
          <w:szCs w:val="22"/>
          <w:lang w:val="ro-RO"/>
        </w:rPr>
        <w:t>Servicii de mentenanță</w:t>
      </w:r>
      <w:bookmarkEnd w:id="24"/>
    </w:p>
    <w:p w14:paraId="2C4E86B0">
      <w:pPr>
        <w:pStyle w:val="4"/>
        <w:numPr>
          <w:ilvl w:val="2"/>
          <w:numId w:val="3"/>
        </w:numPr>
        <w:spacing w:before="120" w:after="120" w:line="240" w:lineRule="auto"/>
        <w:contextualSpacing w:val="0"/>
        <w:rPr>
          <w:b w:val="0"/>
          <w:bCs w:val="0"/>
          <w:i/>
          <w:iCs/>
          <w:sz w:val="22"/>
          <w:szCs w:val="22"/>
          <w:lang w:val="ro-RO"/>
        </w:rPr>
      </w:pPr>
      <w:bookmarkStart w:id="25" w:name="_Toc19369"/>
      <w:r>
        <w:rPr>
          <w:b w:val="0"/>
          <w:bCs w:val="0"/>
          <w:i/>
          <w:iCs/>
          <w:sz w:val="22"/>
          <w:szCs w:val="22"/>
          <w:lang w:val="ro-RO"/>
        </w:rPr>
        <w:t>Mentenanța preventivă în perioada de garanție</w:t>
      </w:r>
      <w:bookmarkEnd w:id="25"/>
    </w:p>
    <w:p w14:paraId="5B91D258">
      <w:pPr>
        <w:pStyle w:val="28"/>
        <w:shd w:val="clear" w:color="auto" w:fill="auto"/>
        <w:spacing w:before="120" w:after="120" w:line="240" w:lineRule="auto"/>
        <w:ind w:right="23" w:firstLine="0"/>
        <w:rPr>
          <w:color w:val="auto"/>
          <w:spacing w:val="-6"/>
          <w:sz w:val="22"/>
          <w:szCs w:val="22"/>
          <w:lang w:eastAsia="en-GB" w:bidi="ar-SA"/>
        </w:rPr>
      </w:pPr>
      <w:r>
        <w:rPr>
          <w:color w:val="auto"/>
          <w:spacing w:val="-6"/>
          <w:sz w:val="22"/>
          <w:szCs w:val="22"/>
          <w:lang w:eastAsia="en-GB" w:bidi="ar-SA"/>
        </w:rPr>
        <w:t>Mentenanța preventivă trebuie înțeleasă ca totalitatea operațiunilor de întreținere și reparație ale unui produs care se efectuează pe parcursul ciclului de viață al acestuia, la intervale regulate cu scopul de a asigura funcționarea optimă a produsului, pentru a reduce riscurile de defectare și de deteriorare. Operațiunile care trebuie efectuate de Contractor pentru fiecare intervenție sunt: inspecție, testare, operațiuni de întreținere periodică, reglaje, reparații curente, revizii.</w:t>
      </w:r>
    </w:p>
    <w:p w14:paraId="043F73F5">
      <w:pPr>
        <w:pStyle w:val="28"/>
        <w:shd w:val="clear" w:color="auto" w:fill="auto"/>
        <w:spacing w:before="120" w:after="120" w:line="240" w:lineRule="auto"/>
        <w:ind w:right="23" w:firstLine="0"/>
        <w:rPr>
          <w:color w:val="auto"/>
          <w:spacing w:val="-6"/>
          <w:sz w:val="22"/>
          <w:szCs w:val="22"/>
          <w:lang w:eastAsia="en-GB" w:bidi="ar-SA"/>
        </w:rPr>
      </w:pPr>
      <w:r>
        <w:rPr>
          <w:color w:val="auto"/>
          <w:spacing w:val="-6"/>
          <w:sz w:val="22"/>
          <w:szCs w:val="22"/>
          <w:lang w:eastAsia="en-GB" w:bidi="ar-SA"/>
        </w:rPr>
        <w:t>Furnizorul este responsabil pentru realizarea operațiunilor de mentenanță preventivă în perioada de garanție, în conformitate cu cerințele stabilite de către producătorul produsului. Înainte de efectuarea operațiunilor de mentenanță preventivă, Contractorul comunică Autorității Contractante lista operațiunilor de mentenanță care trebuie efectuate.</w:t>
      </w:r>
    </w:p>
    <w:p w14:paraId="11502665">
      <w:pPr>
        <w:pStyle w:val="28"/>
        <w:shd w:val="clear" w:color="auto" w:fill="auto"/>
        <w:spacing w:before="120" w:after="120" w:line="240" w:lineRule="auto"/>
        <w:ind w:right="23" w:firstLine="0"/>
        <w:rPr>
          <w:color w:val="auto"/>
          <w:spacing w:val="-6"/>
          <w:sz w:val="22"/>
          <w:szCs w:val="22"/>
          <w:lang w:eastAsia="en-GB" w:bidi="ar-SA"/>
        </w:rPr>
      </w:pPr>
      <w:r>
        <w:rPr>
          <w:color w:val="auto"/>
          <w:spacing w:val="-6"/>
          <w:sz w:val="22"/>
          <w:szCs w:val="22"/>
          <w:lang w:eastAsia="en-GB" w:bidi="ar-SA"/>
        </w:rPr>
        <w:t>Mentenanța preventivă trebuie să acopere toate costurile aferente intervenției, inclusiv forța de muncă, piese de schimb și altele asemenea. După fiecare mentenanță preventivă, Furnizorul trebuie să efectueze teste de funcționare ale produsului și să prezinte un raport care să includă activitățile realizate. Toate piesele de schimb/materiale consumabile asigurate de Contractor trebuie să respecte cerințele tehnice și de calitate ale producătorului.</w:t>
      </w:r>
    </w:p>
    <w:p w14:paraId="4ADDA07F">
      <w:pPr>
        <w:pStyle w:val="28"/>
        <w:shd w:val="clear" w:color="auto" w:fill="auto"/>
        <w:spacing w:before="120" w:after="120" w:line="240" w:lineRule="auto"/>
        <w:ind w:right="23" w:firstLine="0"/>
        <w:rPr>
          <w:color w:val="auto"/>
          <w:spacing w:val="-6"/>
          <w:sz w:val="22"/>
          <w:szCs w:val="22"/>
          <w:lang w:eastAsia="en-GB" w:bidi="ar-SA"/>
        </w:rPr>
      </w:pPr>
      <w:r>
        <w:rPr>
          <w:color w:val="auto"/>
          <w:spacing w:val="-6"/>
          <w:sz w:val="22"/>
          <w:szCs w:val="22"/>
          <w:lang w:eastAsia="en-GB" w:bidi="ar-SA"/>
        </w:rPr>
        <w:t xml:space="preserve">În funcție de disponibilitatea locației unde este instalat produsului, este posibil ca mentenanță preventiva să trebuiască a fi realizata în afara orelor normale de lucru sau la sfârșit de săptămână sau în sărbători legale. Operațiunile de mentenanță preventivă care necesită o oprire a produsului se efectuează în afara orelor normale de activitate. Datele exacte vor fi agreate cu autoritatea contractantă. </w:t>
      </w:r>
    </w:p>
    <w:p w14:paraId="3362FDA2">
      <w:pPr>
        <w:pStyle w:val="28"/>
        <w:shd w:val="clear" w:color="auto" w:fill="auto"/>
        <w:spacing w:before="120" w:after="120" w:line="240" w:lineRule="auto"/>
        <w:ind w:right="23" w:firstLine="0"/>
        <w:rPr>
          <w:color w:val="auto"/>
          <w:spacing w:val="-6"/>
          <w:sz w:val="22"/>
          <w:szCs w:val="22"/>
          <w:lang w:eastAsia="en-GB" w:bidi="ar-SA"/>
        </w:rPr>
      </w:pPr>
      <w:r>
        <w:rPr>
          <w:color w:val="auto"/>
          <w:spacing w:val="-6"/>
          <w:sz w:val="22"/>
          <w:szCs w:val="22"/>
          <w:lang w:eastAsia="en-GB" w:bidi="ar-SA"/>
        </w:rPr>
        <w:t xml:space="preserve">Operațiunile de mentenanța preventiva trebuie efectuate în condiții de securitate, cu protejarea adecvată a personalului care efectuează mentenanță și a altor persoane prezente la locul unde are loc intervenția. </w:t>
      </w:r>
    </w:p>
    <w:p w14:paraId="77A8ECFD">
      <w:pPr>
        <w:pStyle w:val="28"/>
        <w:shd w:val="clear" w:color="auto" w:fill="auto"/>
        <w:spacing w:before="120" w:after="120" w:line="240" w:lineRule="auto"/>
        <w:ind w:right="23" w:firstLine="0"/>
        <w:rPr>
          <w:b/>
          <w:bCs/>
          <w:color w:val="auto"/>
          <w:spacing w:val="-6"/>
          <w:sz w:val="22"/>
          <w:szCs w:val="22"/>
          <w:lang w:eastAsia="en-GB" w:bidi="ar-SA"/>
        </w:rPr>
      </w:pPr>
      <w:r>
        <w:rPr>
          <w:b/>
          <w:bCs/>
          <w:color w:val="auto"/>
          <w:spacing w:val="-6"/>
          <w:sz w:val="22"/>
          <w:szCs w:val="22"/>
          <w:lang w:eastAsia="en-GB" w:bidi="ar-SA"/>
        </w:rPr>
        <w:t>Furnizorul are obligația ca cel puțin o dată, în perioada de garanție acordată</w:t>
      </w:r>
      <w:r>
        <w:rPr>
          <w:color w:val="auto"/>
          <w:spacing w:val="-6"/>
          <w:sz w:val="22"/>
          <w:szCs w:val="22"/>
          <w:lang w:eastAsia="en-GB" w:bidi="ar-SA"/>
        </w:rPr>
        <w:t xml:space="preserve">, să se prezinte la sediul beneficiarilor pentru o verificare tehnică a produselor oferite astfel încât să se ia masuri de prevenire a unor posibile defecțiuni sau de constatare a unor posibile defecțiuni a accesoriilor sau a unor piese de schimb ce trebuie înlocuite. </w:t>
      </w:r>
      <w:r>
        <w:rPr>
          <w:b/>
          <w:bCs/>
          <w:color w:val="auto"/>
          <w:spacing w:val="-6"/>
          <w:sz w:val="22"/>
          <w:szCs w:val="22"/>
          <w:lang w:eastAsia="en-GB" w:bidi="ar-SA"/>
        </w:rPr>
        <w:t>Aceste informații / obligații trebuie să se regăsească menționate în propunerea tehnică.</w:t>
      </w:r>
    </w:p>
    <w:p w14:paraId="2698AE82">
      <w:pPr>
        <w:pStyle w:val="28"/>
        <w:shd w:val="clear" w:color="auto" w:fill="auto"/>
        <w:spacing w:before="120" w:after="120" w:line="240" w:lineRule="auto"/>
        <w:ind w:right="23" w:firstLine="0"/>
        <w:rPr>
          <w:color w:val="auto"/>
          <w:spacing w:val="-6"/>
          <w:sz w:val="22"/>
          <w:szCs w:val="22"/>
          <w:lang w:eastAsia="en-GB" w:bidi="ar-SA"/>
        </w:rPr>
      </w:pPr>
      <w:r>
        <w:rPr>
          <w:color w:val="auto"/>
          <w:spacing w:val="-6"/>
          <w:sz w:val="22"/>
          <w:szCs w:val="22"/>
          <w:lang w:eastAsia="en-GB" w:bidi="ar-SA"/>
        </w:rPr>
        <w:t xml:space="preserve">Operațiunile care trebuie efectuate de Contractant pentru fiecare intervenție sunt: inspecție, testare, reparații curente pentru asigurarea funcționării produsului în conformitate cu cerințele stabilite de producător. </w:t>
      </w:r>
    </w:p>
    <w:p w14:paraId="4A6B69CC">
      <w:pPr>
        <w:pStyle w:val="28"/>
        <w:shd w:val="clear" w:color="auto" w:fill="auto"/>
        <w:spacing w:line="240" w:lineRule="auto"/>
        <w:ind w:left="20" w:right="20" w:firstLine="360"/>
        <w:contextualSpacing/>
        <w:rPr>
          <w:sz w:val="22"/>
          <w:szCs w:val="22"/>
        </w:rPr>
      </w:pPr>
    </w:p>
    <w:p w14:paraId="15C69645">
      <w:pPr>
        <w:pStyle w:val="4"/>
        <w:numPr>
          <w:ilvl w:val="2"/>
          <w:numId w:val="3"/>
        </w:numPr>
        <w:spacing w:before="120" w:after="120" w:line="240" w:lineRule="auto"/>
        <w:contextualSpacing w:val="0"/>
        <w:rPr>
          <w:b w:val="0"/>
          <w:bCs w:val="0"/>
          <w:i/>
          <w:iCs/>
          <w:sz w:val="22"/>
          <w:szCs w:val="22"/>
          <w:lang w:val="ro-RO"/>
        </w:rPr>
      </w:pPr>
      <w:bookmarkStart w:id="26" w:name="_Toc3585"/>
      <w:r>
        <w:rPr>
          <w:b w:val="0"/>
          <w:bCs w:val="0"/>
          <w:i/>
          <w:iCs/>
          <w:sz w:val="22"/>
          <w:szCs w:val="22"/>
          <w:lang w:val="ro-RO"/>
        </w:rPr>
        <w:t>Mentenanța corectivă în perioada de garanție</w:t>
      </w:r>
      <w:bookmarkEnd w:id="26"/>
    </w:p>
    <w:p w14:paraId="7E7FA2C3">
      <w:pPr>
        <w:pStyle w:val="28"/>
        <w:shd w:val="clear" w:color="auto" w:fill="auto"/>
        <w:spacing w:before="120" w:after="120" w:line="240" w:lineRule="auto"/>
        <w:ind w:right="23" w:firstLine="0"/>
        <w:rPr>
          <w:color w:val="auto"/>
          <w:spacing w:val="-6"/>
          <w:sz w:val="22"/>
          <w:szCs w:val="22"/>
          <w:lang w:eastAsia="en-GB" w:bidi="ar-SA"/>
        </w:rPr>
      </w:pPr>
      <w:r>
        <w:rPr>
          <w:color w:val="auto"/>
          <w:spacing w:val="-6"/>
          <w:sz w:val="22"/>
          <w:szCs w:val="22"/>
          <w:lang w:eastAsia="en-GB" w:bidi="ar-SA"/>
        </w:rPr>
        <w:t>Nu este cazul</w:t>
      </w:r>
    </w:p>
    <w:p w14:paraId="019420E8">
      <w:pPr>
        <w:pStyle w:val="28"/>
        <w:shd w:val="clear" w:color="auto" w:fill="auto"/>
        <w:spacing w:before="120" w:after="120" w:line="240" w:lineRule="auto"/>
        <w:ind w:right="23" w:firstLine="0"/>
        <w:rPr>
          <w:color w:val="auto"/>
          <w:spacing w:val="-6"/>
          <w:sz w:val="22"/>
          <w:szCs w:val="22"/>
          <w:lang w:eastAsia="en-GB" w:bidi="ar-SA"/>
        </w:rPr>
      </w:pPr>
    </w:p>
    <w:p w14:paraId="2ABF26BF">
      <w:pPr>
        <w:pStyle w:val="4"/>
        <w:numPr>
          <w:ilvl w:val="2"/>
          <w:numId w:val="3"/>
        </w:numPr>
        <w:spacing w:before="120" w:after="120" w:line="240" w:lineRule="auto"/>
        <w:contextualSpacing w:val="0"/>
        <w:rPr>
          <w:b w:val="0"/>
          <w:bCs w:val="0"/>
          <w:i/>
          <w:iCs/>
          <w:sz w:val="22"/>
          <w:szCs w:val="22"/>
          <w:lang w:val="ro-RO"/>
        </w:rPr>
      </w:pPr>
      <w:bookmarkStart w:id="27" w:name="_Toc1198"/>
      <w:r>
        <w:rPr>
          <w:b w:val="0"/>
          <w:bCs w:val="0"/>
          <w:i/>
          <w:iCs/>
          <w:sz w:val="22"/>
          <w:szCs w:val="22"/>
          <w:lang w:val="ro-RO"/>
        </w:rPr>
        <w:t>Mentenanța evolutivă în perioada de garanție</w:t>
      </w:r>
      <w:bookmarkEnd w:id="27"/>
    </w:p>
    <w:p w14:paraId="023E254A">
      <w:pPr>
        <w:pStyle w:val="28"/>
        <w:shd w:val="clear" w:color="auto" w:fill="auto"/>
        <w:spacing w:before="120" w:after="120" w:line="240" w:lineRule="auto"/>
        <w:ind w:right="23" w:firstLine="0"/>
        <w:rPr>
          <w:color w:val="auto"/>
          <w:spacing w:val="-6"/>
          <w:sz w:val="22"/>
          <w:szCs w:val="22"/>
          <w:lang w:eastAsia="en-GB" w:bidi="ar-SA"/>
        </w:rPr>
      </w:pPr>
      <w:r>
        <w:rPr>
          <w:color w:val="auto"/>
          <w:spacing w:val="-6"/>
          <w:sz w:val="22"/>
          <w:szCs w:val="22"/>
          <w:lang w:eastAsia="en-GB" w:bidi="ar-SA"/>
        </w:rPr>
        <w:t>Nu este cazul</w:t>
      </w:r>
    </w:p>
    <w:p w14:paraId="252933D5">
      <w:pPr>
        <w:ind w:left="20"/>
        <w:contextualSpacing/>
        <w:jc w:val="both"/>
        <w:rPr>
          <w:rStyle w:val="43"/>
          <w:rFonts w:eastAsiaTheme="minorHAnsi"/>
          <w:b w:val="0"/>
          <w:bCs w:val="0"/>
          <w:i w:val="0"/>
          <w:iCs w:val="0"/>
        </w:rPr>
      </w:pPr>
    </w:p>
    <w:p w14:paraId="38B62718">
      <w:pPr>
        <w:pStyle w:val="4"/>
        <w:numPr>
          <w:ilvl w:val="1"/>
          <w:numId w:val="3"/>
        </w:numPr>
        <w:spacing w:before="120" w:after="120" w:line="240" w:lineRule="auto"/>
        <w:contextualSpacing w:val="0"/>
        <w:rPr>
          <w:sz w:val="22"/>
          <w:szCs w:val="22"/>
          <w:lang w:val="ro-RO"/>
        </w:rPr>
      </w:pPr>
      <w:bookmarkStart w:id="28" w:name="_Toc18234"/>
      <w:r>
        <w:rPr>
          <w:sz w:val="22"/>
          <w:szCs w:val="22"/>
          <w:lang w:val="ro-RO"/>
        </w:rPr>
        <w:t>Suport tehnic</w:t>
      </w:r>
      <w:bookmarkEnd w:id="28"/>
    </w:p>
    <w:p w14:paraId="3F06991A">
      <w:pPr>
        <w:pStyle w:val="28"/>
        <w:shd w:val="clear" w:color="auto" w:fill="auto"/>
        <w:spacing w:before="120" w:after="120" w:line="240" w:lineRule="auto"/>
        <w:ind w:right="23" w:firstLine="0"/>
        <w:rPr>
          <w:color w:val="auto"/>
          <w:spacing w:val="-6"/>
          <w:sz w:val="22"/>
          <w:szCs w:val="22"/>
          <w:lang w:eastAsia="en-GB" w:bidi="ar-SA"/>
        </w:rPr>
      </w:pPr>
      <w:r>
        <w:rPr>
          <w:color w:val="auto"/>
          <w:spacing w:val="-6"/>
          <w:sz w:val="22"/>
          <w:szCs w:val="22"/>
          <w:lang w:eastAsia="en-GB" w:bidi="ar-SA"/>
        </w:rPr>
        <w:t>Pe toata durata contractului, inclusiv în perioada de garanție, Contractorul va asigura suport tehnic.</w:t>
      </w:r>
    </w:p>
    <w:p w14:paraId="7B2C4046">
      <w:pPr>
        <w:pStyle w:val="28"/>
        <w:shd w:val="clear" w:color="auto" w:fill="auto"/>
        <w:spacing w:before="120" w:after="120" w:line="240" w:lineRule="auto"/>
        <w:ind w:right="23" w:firstLine="0"/>
        <w:rPr>
          <w:color w:val="auto"/>
          <w:spacing w:val="-6"/>
          <w:sz w:val="22"/>
          <w:szCs w:val="22"/>
          <w:lang w:eastAsia="en-GB" w:bidi="ar-SA"/>
        </w:rPr>
      </w:pPr>
      <w:r>
        <w:rPr>
          <w:color w:val="auto"/>
          <w:spacing w:val="-6"/>
          <w:sz w:val="22"/>
          <w:szCs w:val="22"/>
          <w:lang w:eastAsia="en-GB" w:bidi="ar-SA"/>
        </w:rPr>
        <w:t xml:space="preserve">Contractorul va asigura un punct de contact dedicat personalului autorizat al Autorității Contractante unde se poate semnala orice problemă/defecțiune care necesită mentenanță preventivă sau corectivă sau solicită suport tehnic Contractorului în gestionarea unui incident, disponibil, pentru a se asigura că orice situație semnalată este tratată cu promptitudine. </w:t>
      </w:r>
    </w:p>
    <w:p w14:paraId="6BAAC8B8">
      <w:pPr>
        <w:pStyle w:val="28"/>
        <w:shd w:val="clear" w:color="auto" w:fill="auto"/>
        <w:spacing w:before="120" w:after="120" w:line="240" w:lineRule="auto"/>
        <w:ind w:right="23" w:firstLine="0"/>
        <w:rPr>
          <w:color w:val="auto"/>
          <w:spacing w:val="-6"/>
          <w:sz w:val="22"/>
          <w:szCs w:val="22"/>
          <w:lang w:eastAsia="en-GB" w:bidi="ar-SA"/>
        </w:rPr>
      </w:pPr>
      <w:r>
        <w:rPr>
          <w:color w:val="auto"/>
          <w:spacing w:val="-6"/>
          <w:sz w:val="22"/>
          <w:szCs w:val="22"/>
          <w:lang w:eastAsia="en-GB" w:bidi="ar-SA"/>
        </w:rPr>
        <w:t>Furnizorul va răspunde în timp util la orice incident semnalat de Autoritatea Contractantă, în funcție de nivelul incidentului. Fiecărui incident este caracterizat de un nivel de prioritate, care va evidenția impactul acestuia asupra funcționalităților produsului.</w:t>
      </w:r>
    </w:p>
    <w:p w14:paraId="11E32E76">
      <w:pPr>
        <w:pStyle w:val="28"/>
        <w:shd w:val="clear" w:color="auto" w:fill="auto"/>
        <w:spacing w:before="120" w:after="120" w:line="240" w:lineRule="auto"/>
        <w:ind w:right="23" w:firstLine="0"/>
        <w:rPr>
          <w:color w:val="auto"/>
          <w:spacing w:val="-6"/>
          <w:sz w:val="22"/>
          <w:szCs w:val="22"/>
          <w:lang w:eastAsia="en-GB" w:bidi="ar-SA"/>
        </w:rPr>
      </w:pPr>
      <w:r>
        <w:rPr>
          <w:color w:val="auto"/>
          <w:spacing w:val="-6"/>
          <w:sz w:val="22"/>
          <w:szCs w:val="22"/>
          <w:lang w:eastAsia="en-GB" w:bidi="ar-SA"/>
        </w:rPr>
        <w:t>Nivelele de prioritate sunt:</w:t>
      </w:r>
    </w:p>
    <w:p w14:paraId="537A22D5">
      <w:pPr>
        <w:widowControl w:val="0"/>
        <w:numPr>
          <w:ilvl w:val="0"/>
          <w:numId w:val="9"/>
        </w:numPr>
        <w:spacing w:before="120" w:after="120"/>
        <w:ind w:left="714" w:right="28" w:hanging="357"/>
        <w:jc w:val="both"/>
        <w:rPr>
          <w:iCs/>
          <w:spacing w:val="-6"/>
          <w:sz w:val="22"/>
          <w:szCs w:val="22"/>
          <w:lang w:val="ro-RO"/>
        </w:rPr>
      </w:pPr>
      <w:r>
        <w:rPr>
          <w:bCs/>
          <w:iCs/>
          <w:spacing w:val="-6"/>
          <w:sz w:val="22"/>
          <w:szCs w:val="22"/>
          <w:lang w:val="ro-RO"/>
        </w:rPr>
        <w:t>Urgent - i</w:t>
      </w:r>
      <w:r>
        <w:rPr>
          <w:iCs/>
          <w:spacing w:val="-6"/>
          <w:sz w:val="22"/>
          <w:szCs w:val="22"/>
          <w:lang w:val="ro-RO"/>
        </w:rPr>
        <w:t>ncidentul are impact major asupra funcționarii produsului. Problema împiedică desfășurarea activității Autorității Contractante.</w:t>
      </w:r>
    </w:p>
    <w:p w14:paraId="0F97278A">
      <w:pPr>
        <w:widowControl w:val="0"/>
        <w:numPr>
          <w:ilvl w:val="0"/>
          <w:numId w:val="9"/>
        </w:numPr>
        <w:spacing w:before="120" w:after="120"/>
        <w:ind w:left="714" w:right="28" w:hanging="357"/>
        <w:jc w:val="both"/>
        <w:rPr>
          <w:iCs/>
          <w:spacing w:val="-6"/>
          <w:sz w:val="22"/>
          <w:szCs w:val="22"/>
          <w:lang w:val="ro-RO"/>
        </w:rPr>
      </w:pPr>
      <w:r>
        <w:rPr>
          <w:bCs/>
          <w:iCs/>
          <w:spacing w:val="-6"/>
          <w:sz w:val="22"/>
          <w:szCs w:val="22"/>
          <w:lang w:val="ro-RO"/>
        </w:rPr>
        <w:t>Critic -i</w:t>
      </w:r>
      <w:r>
        <w:rPr>
          <w:iCs/>
          <w:spacing w:val="-6"/>
          <w:sz w:val="22"/>
          <w:szCs w:val="22"/>
          <w:lang w:val="ro-RO"/>
        </w:rPr>
        <w:t xml:space="preserve">mpact semnificativ asupra funcționarii produsului. Problema împiedică desfășurarea în condiții normale a activității Autorității Contractante. Nici o soluție alternativa nu este disponibila, însă activitatea Autorității Contractante poate totuși continua, însă într-un mod restrictiv.  </w:t>
      </w:r>
    </w:p>
    <w:p w14:paraId="34D48AA9">
      <w:pPr>
        <w:widowControl w:val="0"/>
        <w:numPr>
          <w:ilvl w:val="0"/>
          <w:numId w:val="9"/>
        </w:numPr>
        <w:spacing w:before="120" w:after="120"/>
        <w:ind w:left="714" w:right="28" w:hanging="357"/>
        <w:jc w:val="both"/>
        <w:rPr>
          <w:iCs/>
          <w:spacing w:val="-6"/>
          <w:sz w:val="22"/>
          <w:szCs w:val="22"/>
          <w:lang w:val="ro-RO"/>
        </w:rPr>
      </w:pPr>
      <w:r>
        <w:rPr>
          <w:bCs/>
          <w:iCs/>
          <w:spacing w:val="-6"/>
          <w:sz w:val="22"/>
          <w:szCs w:val="22"/>
          <w:lang w:val="ro-RO"/>
        </w:rPr>
        <w:t>Major - i</w:t>
      </w:r>
      <w:r>
        <w:rPr>
          <w:iCs/>
          <w:spacing w:val="-6"/>
          <w:sz w:val="22"/>
          <w:szCs w:val="22"/>
          <w:lang w:val="ro-RO"/>
        </w:rPr>
        <w:t xml:space="preserve">mpact mediu asupra desfășurării activității Autorității Contractante. Problema afectează minor funcționalitățile produsului. Impactul reprezintă un inconvenient care necesita soluții alternative pentru refacerea funcționalităților. </w:t>
      </w:r>
    </w:p>
    <w:p w14:paraId="58D851B4">
      <w:pPr>
        <w:widowControl w:val="0"/>
        <w:numPr>
          <w:ilvl w:val="0"/>
          <w:numId w:val="9"/>
        </w:numPr>
        <w:spacing w:before="120" w:after="120"/>
        <w:ind w:left="714" w:right="28" w:hanging="357"/>
        <w:jc w:val="both"/>
        <w:rPr>
          <w:iCs/>
          <w:spacing w:val="-6"/>
          <w:sz w:val="22"/>
          <w:szCs w:val="22"/>
          <w:lang w:val="ro-RO"/>
        </w:rPr>
      </w:pPr>
      <w:r>
        <w:rPr>
          <w:bCs/>
          <w:iCs/>
          <w:spacing w:val="-6"/>
          <w:sz w:val="22"/>
          <w:szCs w:val="22"/>
          <w:lang w:val="ro-RO"/>
        </w:rPr>
        <w:t>Minor - i</w:t>
      </w:r>
      <w:r>
        <w:rPr>
          <w:iCs/>
          <w:spacing w:val="-6"/>
          <w:sz w:val="22"/>
          <w:szCs w:val="22"/>
          <w:lang w:val="ro-RO"/>
        </w:rPr>
        <w:t>mpact minim asupra desfășurării activității Autorității Contractante. Problema nu afectează funcționalitățile produsului. Rezultatul este o eroare minora care nu împiedică desfășurarea în bune condiții a activității Autorității Contractante.</w:t>
      </w:r>
    </w:p>
    <w:p w14:paraId="7DC35E33">
      <w:pPr>
        <w:widowControl w:val="0"/>
        <w:spacing w:before="120" w:after="120"/>
        <w:jc w:val="both"/>
        <w:rPr>
          <w:iCs/>
          <w:spacing w:val="-6"/>
          <w:sz w:val="22"/>
          <w:szCs w:val="22"/>
          <w:lang w:val="ro-RO"/>
        </w:rPr>
      </w:pPr>
      <w:r>
        <w:rPr>
          <w:iCs/>
          <w:spacing w:val="-6"/>
          <w:sz w:val="22"/>
          <w:szCs w:val="22"/>
          <w:lang w:val="ro-RO"/>
        </w:rPr>
        <w:t>Furnizorul trebuie sa asigure disponibilitatea serviciilor de suport tehnic. În cazul incidentelor cu prioritate „urgent” intervenția va fi asigurata 24/7, din momentul primirii sesizării și până la remedierea definitiva a problemei și asigurarea funcționalității integrale a produsului.</w:t>
      </w:r>
    </w:p>
    <w:p w14:paraId="4B01B560">
      <w:pPr>
        <w:widowControl w:val="0"/>
        <w:spacing w:before="120" w:after="120"/>
        <w:jc w:val="both"/>
        <w:rPr>
          <w:iCs/>
          <w:spacing w:val="-6"/>
          <w:sz w:val="22"/>
          <w:szCs w:val="22"/>
          <w:lang w:val="ro-RO"/>
        </w:rPr>
      </w:pPr>
      <w:r>
        <w:rPr>
          <w:iCs/>
          <w:spacing w:val="-6"/>
          <w:sz w:val="22"/>
          <w:szCs w:val="22"/>
          <w:lang w:val="ro-RO"/>
        </w:rPr>
        <w:t>Furnizorul va trebui sa respecte următorii timpi de răspuns, corelați cu nivelul de prioritate a incidentului - aceștia se vor particulariza în funcție de specificul obiectul contractului, cei de mai jos fiind cu caracter orientativ:</w:t>
      </w:r>
    </w:p>
    <w:tbl>
      <w:tblPr>
        <w:tblStyle w:val="8"/>
        <w:tblW w:w="0" w:type="auto"/>
        <w:jc w:val="center"/>
        <w:tblLayout w:type="fixed"/>
        <w:tblCellMar>
          <w:top w:w="0" w:type="dxa"/>
          <w:left w:w="108" w:type="dxa"/>
          <w:bottom w:w="0" w:type="dxa"/>
          <w:right w:w="108" w:type="dxa"/>
        </w:tblCellMar>
      </w:tblPr>
      <w:tblGrid>
        <w:gridCol w:w="1688"/>
        <w:gridCol w:w="1701"/>
        <w:gridCol w:w="2702"/>
        <w:gridCol w:w="3118"/>
      </w:tblGrid>
      <w:tr w14:paraId="58692A87">
        <w:tblPrEx>
          <w:tblCellMar>
            <w:top w:w="0" w:type="dxa"/>
            <w:left w:w="108" w:type="dxa"/>
            <w:bottom w:w="0" w:type="dxa"/>
            <w:right w:w="108" w:type="dxa"/>
          </w:tblCellMar>
        </w:tblPrEx>
        <w:trPr>
          <w:jc w:val="center"/>
        </w:trPr>
        <w:tc>
          <w:tcPr>
            <w:tcW w:w="1688" w:type="dxa"/>
            <w:tcBorders>
              <w:top w:val="single" w:color="000000" w:sz="4" w:space="0"/>
              <w:left w:val="single" w:color="000000" w:sz="4" w:space="0"/>
              <w:bottom w:val="single" w:color="000000" w:sz="4" w:space="0"/>
            </w:tcBorders>
            <w:vAlign w:val="center"/>
          </w:tcPr>
          <w:p w14:paraId="1B97FE9E">
            <w:pPr>
              <w:widowControl w:val="0"/>
              <w:ind w:right="28"/>
              <w:jc w:val="center"/>
              <w:rPr>
                <w:b/>
                <w:iCs/>
                <w:spacing w:val="-4"/>
                <w:sz w:val="22"/>
                <w:szCs w:val="22"/>
                <w:lang w:val="ro-RO"/>
              </w:rPr>
            </w:pPr>
            <w:r>
              <w:rPr>
                <w:b/>
                <w:iCs/>
                <w:spacing w:val="-4"/>
                <w:sz w:val="22"/>
                <w:szCs w:val="22"/>
                <w:lang w:val="ro-RO"/>
              </w:rPr>
              <w:t>Nivel prioritate</w:t>
            </w:r>
          </w:p>
        </w:tc>
        <w:tc>
          <w:tcPr>
            <w:tcW w:w="1701" w:type="dxa"/>
            <w:tcBorders>
              <w:top w:val="single" w:color="000000" w:sz="4" w:space="0"/>
              <w:left w:val="single" w:color="000000" w:sz="4" w:space="0"/>
              <w:bottom w:val="single" w:color="000000" w:sz="4" w:space="0"/>
            </w:tcBorders>
            <w:vAlign w:val="center"/>
          </w:tcPr>
          <w:p w14:paraId="310FA59A">
            <w:pPr>
              <w:widowControl w:val="0"/>
              <w:ind w:right="28"/>
              <w:jc w:val="center"/>
              <w:rPr>
                <w:b/>
                <w:iCs/>
                <w:spacing w:val="-4"/>
                <w:sz w:val="22"/>
                <w:szCs w:val="22"/>
                <w:lang w:val="ro-RO"/>
              </w:rPr>
            </w:pPr>
            <w:r>
              <w:rPr>
                <w:b/>
                <w:iCs/>
                <w:spacing w:val="-4"/>
                <w:sz w:val="22"/>
                <w:szCs w:val="22"/>
                <w:lang w:val="ro-RO"/>
              </w:rPr>
              <w:t>Timp de răspuns</w:t>
            </w:r>
          </w:p>
        </w:tc>
        <w:tc>
          <w:tcPr>
            <w:tcW w:w="2702" w:type="dxa"/>
            <w:tcBorders>
              <w:top w:val="single" w:color="000000" w:sz="4" w:space="0"/>
              <w:left w:val="single" w:color="000000" w:sz="4" w:space="0"/>
              <w:bottom w:val="single" w:color="000000" w:sz="4" w:space="0"/>
            </w:tcBorders>
            <w:vAlign w:val="center"/>
          </w:tcPr>
          <w:p w14:paraId="4050D33F">
            <w:pPr>
              <w:widowControl w:val="0"/>
              <w:ind w:right="28"/>
              <w:jc w:val="center"/>
              <w:rPr>
                <w:b/>
                <w:iCs/>
                <w:spacing w:val="-4"/>
                <w:sz w:val="22"/>
                <w:szCs w:val="22"/>
                <w:lang w:val="ro-RO"/>
              </w:rPr>
            </w:pPr>
            <w:r>
              <w:rPr>
                <w:b/>
                <w:iCs/>
                <w:spacing w:val="-4"/>
                <w:sz w:val="22"/>
                <w:szCs w:val="22"/>
                <w:lang w:val="ro-RO"/>
              </w:rPr>
              <w:t>Timp de implementare soluție provizorie</w:t>
            </w:r>
          </w:p>
        </w:tc>
        <w:tc>
          <w:tcPr>
            <w:tcW w:w="3118" w:type="dxa"/>
            <w:tcBorders>
              <w:top w:val="single" w:color="000000" w:sz="4" w:space="0"/>
              <w:left w:val="single" w:color="000000" w:sz="4" w:space="0"/>
              <w:bottom w:val="single" w:color="000000" w:sz="4" w:space="0"/>
              <w:right w:val="single" w:color="000000" w:sz="4" w:space="0"/>
            </w:tcBorders>
            <w:vAlign w:val="center"/>
          </w:tcPr>
          <w:p w14:paraId="77C4EA9B">
            <w:pPr>
              <w:widowControl w:val="0"/>
              <w:ind w:right="28"/>
              <w:jc w:val="center"/>
              <w:rPr>
                <w:b/>
                <w:iCs/>
                <w:spacing w:val="-4"/>
                <w:sz w:val="22"/>
                <w:szCs w:val="22"/>
                <w:lang w:val="ro-RO"/>
              </w:rPr>
            </w:pPr>
            <w:r>
              <w:rPr>
                <w:b/>
                <w:iCs/>
                <w:spacing w:val="-4"/>
                <w:sz w:val="22"/>
                <w:szCs w:val="22"/>
                <w:lang w:val="ro-RO"/>
              </w:rPr>
              <w:t>Timp de rezolvare</w:t>
            </w:r>
          </w:p>
        </w:tc>
      </w:tr>
      <w:tr w14:paraId="0A054C1C">
        <w:tblPrEx>
          <w:tblCellMar>
            <w:top w:w="0" w:type="dxa"/>
            <w:left w:w="108" w:type="dxa"/>
            <w:bottom w:w="0" w:type="dxa"/>
            <w:right w:w="108" w:type="dxa"/>
          </w:tblCellMar>
        </w:tblPrEx>
        <w:trPr>
          <w:jc w:val="center"/>
        </w:trPr>
        <w:tc>
          <w:tcPr>
            <w:tcW w:w="1688" w:type="dxa"/>
            <w:tcBorders>
              <w:top w:val="single" w:color="000000" w:sz="4" w:space="0"/>
              <w:left w:val="single" w:color="000000" w:sz="4" w:space="0"/>
              <w:bottom w:val="single" w:color="000000" w:sz="4" w:space="0"/>
            </w:tcBorders>
            <w:vAlign w:val="center"/>
          </w:tcPr>
          <w:p w14:paraId="55915E60">
            <w:pPr>
              <w:widowControl w:val="0"/>
              <w:ind w:right="28"/>
              <w:jc w:val="center"/>
              <w:rPr>
                <w:b/>
                <w:iCs/>
                <w:spacing w:val="-4"/>
                <w:sz w:val="22"/>
                <w:szCs w:val="22"/>
                <w:lang w:val="ro-RO"/>
              </w:rPr>
            </w:pPr>
            <w:r>
              <w:rPr>
                <w:b/>
                <w:iCs/>
                <w:spacing w:val="-4"/>
                <w:sz w:val="22"/>
                <w:szCs w:val="22"/>
                <w:lang w:val="ro-RO"/>
              </w:rPr>
              <w:t>Urgent</w:t>
            </w:r>
          </w:p>
        </w:tc>
        <w:tc>
          <w:tcPr>
            <w:tcW w:w="1701" w:type="dxa"/>
            <w:tcBorders>
              <w:top w:val="single" w:color="000000" w:sz="4" w:space="0"/>
              <w:left w:val="single" w:color="000000" w:sz="4" w:space="0"/>
              <w:bottom w:val="single" w:color="000000" w:sz="4" w:space="0"/>
            </w:tcBorders>
            <w:vAlign w:val="center"/>
          </w:tcPr>
          <w:p w14:paraId="44DE60D7">
            <w:pPr>
              <w:widowControl w:val="0"/>
              <w:ind w:right="28"/>
              <w:jc w:val="center"/>
              <w:rPr>
                <w:iCs/>
                <w:spacing w:val="-4"/>
                <w:sz w:val="22"/>
                <w:szCs w:val="22"/>
                <w:lang w:val="ro-RO"/>
              </w:rPr>
            </w:pPr>
            <w:r>
              <w:rPr>
                <w:iCs/>
                <w:sz w:val="22"/>
                <w:szCs w:val="22"/>
                <w:lang w:val="ro-RO"/>
              </w:rPr>
              <w:t>10 ore</w:t>
            </w:r>
          </w:p>
        </w:tc>
        <w:tc>
          <w:tcPr>
            <w:tcW w:w="2702" w:type="dxa"/>
            <w:tcBorders>
              <w:top w:val="single" w:color="000000" w:sz="4" w:space="0"/>
              <w:left w:val="single" w:color="000000" w:sz="4" w:space="0"/>
              <w:bottom w:val="single" w:color="000000" w:sz="4" w:space="0"/>
            </w:tcBorders>
            <w:vAlign w:val="center"/>
          </w:tcPr>
          <w:p w14:paraId="2235FB63">
            <w:pPr>
              <w:widowControl w:val="0"/>
              <w:ind w:right="28"/>
              <w:jc w:val="center"/>
              <w:rPr>
                <w:iCs/>
                <w:spacing w:val="-4"/>
                <w:sz w:val="22"/>
                <w:szCs w:val="22"/>
                <w:lang w:val="ro-RO"/>
              </w:rPr>
            </w:pPr>
            <w:r>
              <w:rPr>
                <w:rStyle w:val="51"/>
                <w:i w:val="0"/>
              </w:rPr>
              <w:t>48 ore</w:t>
            </w:r>
          </w:p>
        </w:tc>
        <w:tc>
          <w:tcPr>
            <w:tcW w:w="3118" w:type="dxa"/>
            <w:tcBorders>
              <w:top w:val="single" w:color="000000" w:sz="4" w:space="0"/>
              <w:left w:val="single" w:color="000000" w:sz="4" w:space="0"/>
              <w:bottom w:val="single" w:color="000000" w:sz="4" w:space="0"/>
              <w:right w:val="single" w:color="000000" w:sz="4" w:space="0"/>
            </w:tcBorders>
            <w:vAlign w:val="center"/>
          </w:tcPr>
          <w:p w14:paraId="0BF9D24B">
            <w:pPr>
              <w:widowControl w:val="0"/>
              <w:ind w:right="28"/>
              <w:jc w:val="center"/>
              <w:rPr>
                <w:iCs/>
                <w:spacing w:val="-4"/>
                <w:sz w:val="22"/>
                <w:szCs w:val="22"/>
                <w:lang w:val="ro-RO"/>
              </w:rPr>
            </w:pPr>
            <w:r>
              <w:rPr>
                <w:rStyle w:val="51"/>
                <w:i w:val="0"/>
              </w:rPr>
              <w:t>96 ore</w:t>
            </w:r>
          </w:p>
        </w:tc>
      </w:tr>
      <w:tr w14:paraId="7ABDD091">
        <w:tblPrEx>
          <w:tblCellMar>
            <w:top w:w="0" w:type="dxa"/>
            <w:left w:w="108" w:type="dxa"/>
            <w:bottom w:w="0" w:type="dxa"/>
            <w:right w:w="108" w:type="dxa"/>
          </w:tblCellMar>
        </w:tblPrEx>
        <w:trPr>
          <w:jc w:val="center"/>
        </w:trPr>
        <w:tc>
          <w:tcPr>
            <w:tcW w:w="1688" w:type="dxa"/>
            <w:tcBorders>
              <w:top w:val="single" w:color="000000" w:sz="4" w:space="0"/>
              <w:left w:val="single" w:color="000000" w:sz="4" w:space="0"/>
              <w:bottom w:val="single" w:color="000000" w:sz="4" w:space="0"/>
            </w:tcBorders>
            <w:vAlign w:val="center"/>
          </w:tcPr>
          <w:p w14:paraId="08457EE1">
            <w:pPr>
              <w:widowControl w:val="0"/>
              <w:ind w:right="28"/>
              <w:jc w:val="center"/>
              <w:rPr>
                <w:b/>
                <w:iCs/>
                <w:spacing w:val="-4"/>
                <w:sz w:val="22"/>
                <w:szCs w:val="22"/>
                <w:lang w:val="ro-RO"/>
              </w:rPr>
            </w:pPr>
            <w:r>
              <w:rPr>
                <w:b/>
                <w:iCs/>
                <w:spacing w:val="-4"/>
                <w:sz w:val="22"/>
                <w:szCs w:val="22"/>
                <w:lang w:val="ro-RO"/>
              </w:rPr>
              <w:t>Critic</w:t>
            </w:r>
          </w:p>
        </w:tc>
        <w:tc>
          <w:tcPr>
            <w:tcW w:w="1701" w:type="dxa"/>
            <w:tcBorders>
              <w:top w:val="single" w:color="000000" w:sz="4" w:space="0"/>
              <w:left w:val="single" w:color="000000" w:sz="4" w:space="0"/>
              <w:bottom w:val="single" w:color="000000" w:sz="4" w:space="0"/>
            </w:tcBorders>
            <w:vAlign w:val="center"/>
          </w:tcPr>
          <w:p w14:paraId="6D2133C2">
            <w:pPr>
              <w:widowControl w:val="0"/>
              <w:ind w:right="28"/>
              <w:jc w:val="center"/>
              <w:rPr>
                <w:i/>
                <w:iCs/>
                <w:spacing w:val="-4"/>
                <w:sz w:val="22"/>
                <w:szCs w:val="22"/>
                <w:lang w:val="ro-RO"/>
              </w:rPr>
            </w:pPr>
            <w:r>
              <w:rPr>
                <w:rStyle w:val="51"/>
                <w:i w:val="0"/>
              </w:rPr>
              <w:t>24 ore</w:t>
            </w:r>
          </w:p>
        </w:tc>
        <w:tc>
          <w:tcPr>
            <w:tcW w:w="2702" w:type="dxa"/>
            <w:tcBorders>
              <w:top w:val="single" w:color="000000" w:sz="4" w:space="0"/>
              <w:left w:val="single" w:color="000000" w:sz="4" w:space="0"/>
              <w:bottom w:val="single" w:color="000000" w:sz="4" w:space="0"/>
            </w:tcBorders>
            <w:vAlign w:val="center"/>
          </w:tcPr>
          <w:p w14:paraId="2DCB9842">
            <w:pPr>
              <w:widowControl w:val="0"/>
              <w:ind w:right="28"/>
              <w:jc w:val="center"/>
              <w:rPr>
                <w:i/>
                <w:iCs/>
                <w:spacing w:val="-4"/>
                <w:sz w:val="22"/>
                <w:szCs w:val="22"/>
                <w:lang w:val="ro-RO"/>
              </w:rPr>
            </w:pPr>
            <w:r>
              <w:rPr>
                <w:rStyle w:val="51"/>
                <w:i w:val="0"/>
              </w:rPr>
              <w:t>72 ore</w:t>
            </w:r>
          </w:p>
        </w:tc>
        <w:tc>
          <w:tcPr>
            <w:tcW w:w="3118" w:type="dxa"/>
            <w:tcBorders>
              <w:top w:val="single" w:color="000000" w:sz="4" w:space="0"/>
              <w:left w:val="single" w:color="000000" w:sz="4" w:space="0"/>
              <w:bottom w:val="single" w:color="000000" w:sz="4" w:space="0"/>
              <w:right w:val="single" w:color="000000" w:sz="4" w:space="0"/>
            </w:tcBorders>
            <w:vAlign w:val="center"/>
          </w:tcPr>
          <w:p w14:paraId="769CDC56">
            <w:pPr>
              <w:widowControl w:val="0"/>
              <w:ind w:right="28"/>
              <w:jc w:val="center"/>
              <w:rPr>
                <w:i/>
                <w:iCs/>
                <w:spacing w:val="-4"/>
                <w:sz w:val="22"/>
                <w:szCs w:val="22"/>
                <w:lang w:val="ro-RO"/>
              </w:rPr>
            </w:pPr>
            <w:r>
              <w:rPr>
                <w:rStyle w:val="51"/>
                <w:i w:val="0"/>
              </w:rPr>
              <w:t>120 ore</w:t>
            </w:r>
          </w:p>
        </w:tc>
      </w:tr>
      <w:tr w14:paraId="2374A415">
        <w:tblPrEx>
          <w:tblCellMar>
            <w:top w:w="0" w:type="dxa"/>
            <w:left w:w="108" w:type="dxa"/>
            <w:bottom w:w="0" w:type="dxa"/>
            <w:right w:w="108" w:type="dxa"/>
          </w:tblCellMar>
        </w:tblPrEx>
        <w:trPr>
          <w:jc w:val="center"/>
        </w:trPr>
        <w:tc>
          <w:tcPr>
            <w:tcW w:w="1688" w:type="dxa"/>
            <w:tcBorders>
              <w:top w:val="single" w:color="000000" w:sz="4" w:space="0"/>
              <w:left w:val="single" w:color="000000" w:sz="4" w:space="0"/>
              <w:bottom w:val="single" w:color="000000" w:sz="4" w:space="0"/>
            </w:tcBorders>
            <w:vAlign w:val="center"/>
          </w:tcPr>
          <w:p w14:paraId="5EF7384B">
            <w:pPr>
              <w:widowControl w:val="0"/>
              <w:ind w:right="28"/>
              <w:jc w:val="center"/>
              <w:rPr>
                <w:b/>
                <w:iCs/>
                <w:spacing w:val="-4"/>
                <w:sz w:val="22"/>
                <w:szCs w:val="22"/>
                <w:lang w:val="ro-RO"/>
              </w:rPr>
            </w:pPr>
            <w:r>
              <w:rPr>
                <w:b/>
                <w:iCs/>
                <w:spacing w:val="-4"/>
                <w:sz w:val="22"/>
                <w:szCs w:val="22"/>
                <w:lang w:val="ro-RO"/>
              </w:rPr>
              <w:t>Major</w:t>
            </w:r>
          </w:p>
        </w:tc>
        <w:tc>
          <w:tcPr>
            <w:tcW w:w="1701" w:type="dxa"/>
            <w:tcBorders>
              <w:top w:val="single" w:color="000000" w:sz="4" w:space="0"/>
              <w:left w:val="single" w:color="000000" w:sz="4" w:space="0"/>
              <w:bottom w:val="single" w:color="000000" w:sz="4" w:space="0"/>
            </w:tcBorders>
            <w:vAlign w:val="center"/>
          </w:tcPr>
          <w:p w14:paraId="4D378B8F">
            <w:pPr>
              <w:widowControl w:val="0"/>
              <w:ind w:right="28"/>
              <w:jc w:val="center"/>
              <w:rPr>
                <w:i/>
                <w:iCs/>
                <w:spacing w:val="-4"/>
                <w:sz w:val="22"/>
                <w:szCs w:val="22"/>
                <w:lang w:val="ro-RO"/>
              </w:rPr>
            </w:pPr>
            <w:r>
              <w:rPr>
                <w:rStyle w:val="51"/>
                <w:i w:val="0"/>
              </w:rPr>
              <w:t>48 ore</w:t>
            </w:r>
          </w:p>
        </w:tc>
        <w:tc>
          <w:tcPr>
            <w:tcW w:w="2702" w:type="dxa"/>
            <w:tcBorders>
              <w:top w:val="single" w:color="000000" w:sz="4" w:space="0"/>
              <w:left w:val="single" w:color="000000" w:sz="4" w:space="0"/>
              <w:bottom w:val="single" w:color="000000" w:sz="4" w:space="0"/>
            </w:tcBorders>
            <w:vAlign w:val="center"/>
          </w:tcPr>
          <w:p w14:paraId="66F1BF85">
            <w:pPr>
              <w:widowControl w:val="0"/>
              <w:ind w:right="28"/>
              <w:jc w:val="center"/>
              <w:rPr>
                <w:i/>
                <w:iCs/>
                <w:spacing w:val="-4"/>
                <w:sz w:val="22"/>
                <w:szCs w:val="22"/>
                <w:lang w:val="ro-RO"/>
              </w:rPr>
            </w:pPr>
            <w:r>
              <w:rPr>
                <w:rStyle w:val="51"/>
                <w:i w:val="0"/>
              </w:rPr>
              <w:t xml:space="preserve">96 ore </w:t>
            </w:r>
          </w:p>
        </w:tc>
        <w:tc>
          <w:tcPr>
            <w:tcW w:w="3118" w:type="dxa"/>
            <w:tcBorders>
              <w:top w:val="single" w:color="000000" w:sz="4" w:space="0"/>
              <w:left w:val="single" w:color="000000" w:sz="4" w:space="0"/>
              <w:bottom w:val="single" w:color="000000" w:sz="4" w:space="0"/>
              <w:right w:val="single" w:color="000000" w:sz="4" w:space="0"/>
            </w:tcBorders>
            <w:vAlign w:val="center"/>
          </w:tcPr>
          <w:p w14:paraId="634D3199">
            <w:pPr>
              <w:widowControl w:val="0"/>
              <w:ind w:right="28"/>
              <w:jc w:val="center"/>
              <w:rPr>
                <w:i/>
                <w:iCs/>
                <w:spacing w:val="-4"/>
                <w:sz w:val="22"/>
                <w:szCs w:val="22"/>
                <w:lang w:val="ro-RO"/>
              </w:rPr>
            </w:pPr>
            <w:r>
              <w:rPr>
                <w:rStyle w:val="51"/>
                <w:i w:val="0"/>
              </w:rPr>
              <w:t>144 ore</w:t>
            </w:r>
          </w:p>
        </w:tc>
      </w:tr>
      <w:tr w14:paraId="362D4C70">
        <w:tblPrEx>
          <w:tblCellMar>
            <w:top w:w="0" w:type="dxa"/>
            <w:left w:w="108" w:type="dxa"/>
            <w:bottom w:w="0" w:type="dxa"/>
            <w:right w:w="108" w:type="dxa"/>
          </w:tblCellMar>
        </w:tblPrEx>
        <w:trPr>
          <w:jc w:val="center"/>
        </w:trPr>
        <w:tc>
          <w:tcPr>
            <w:tcW w:w="1688" w:type="dxa"/>
            <w:tcBorders>
              <w:top w:val="single" w:color="000000" w:sz="4" w:space="0"/>
              <w:left w:val="single" w:color="000000" w:sz="4" w:space="0"/>
              <w:bottom w:val="single" w:color="000000" w:sz="4" w:space="0"/>
            </w:tcBorders>
            <w:vAlign w:val="center"/>
          </w:tcPr>
          <w:p w14:paraId="4CC789E0">
            <w:pPr>
              <w:widowControl w:val="0"/>
              <w:ind w:right="28"/>
              <w:jc w:val="center"/>
              <w:rPr>
                <w:b/>
                <w:iCs/>
                <w:spacing w:val="-4"/>
                <w:sz w:val="22"/>
                <w:szCs w:val="22"/>
                <w:lang w:val="ro-RO"/>
              </w:rPr>
            </w:pPr>
            <w:r>
              <w:rPr>
                <w:b/>
                <w:iCs/>
                <w:spacing w:val="-4"/>
                <w:sz w:val="22"/>
                <w:szCs w:val="22"/>
                <w:lang w:val="ro-RO"/>
              </w:rPr>
              <w:t>Minor</w:t>
            </w:r>
          </w:p>
        </w:tc>
        <w:tc>
          <w:tcPr>
            <w:tcW w:w="1701" w:type="dxa"/>
            <w:tcBorders>
              <w:top w:val="single" w:color="000000" w:sz="4" w:space="0"/>
              <w:left w:val="single" w:color="000000" w:sz="4" w:space="0"/>
              <w:bottom w:val="single" w:color="000000" w:sz="4" w:space="0"/>
            </w:tcBorders>
            <w:vAlign w:val="center"/>
          </w:tcPr>
          <w:p w14:paraId="1E0144D2">
            <w:pPr>
              <w:widowControl w:val="0"/>
              <w:ind w:right="28"/>
              <w:jc w:val="center"/>
              <w:rPr>
                <w:iCs/>
                <w:spacing w:val="-4"/>
                <w:sz w:val="22"/>
                <w:szCs w:val="22"/>
                <w:lang w:val="ro-RO"/>
              </w:rPr>
            </w:pPr>
            <w:r>
              <w:rPr>
                <w:rStyle w:val="51"/>
                <w:i w:val="0"/>
              </w:rPr>
              <w:t>72 ore</w:t>
            </w:r>
          </w:p>
        </w:tc>
        <w:tc>
          <w:tcPr>
            <w:tcW w:w="2702" w:type="dxa"/>
            <w:tcBorders>
              <w:top w:val="single" w:color="000000" w:sz="4" w:space="0"/>
              <w:left w:val="single" w:color="000000" w:sz="4" w:space="0"/>
              <w:bottom w:val="single" w:color="000000" w:sz="4" w:space="0"/>
            </w:tcBorders>
            <w:vAlign w:val="center"/>
          </w:tcPr>
          <w:p w14:paraId="31B9FC17">
            <w:pPr>
              <w:widowControl w:val="0"/>
              <w:ind w:right="28"/>
              <w:jc w:val="center"/>
              <w:rPr>
                <w:iCs/>
                <w:spacing w:val="-4"/>
                <w:sz w:val="22"/>
                <w:szCs w:val="22"/>
                <w:lang w:val="ro-RO"/>
              </w:rPr>
            </w:pPr>
            <w:r>
              <w:rPr>
                <w:iCs/>
                <w:sz w:val="22"/>
                <w:szCs w:val="22"/>
                <w:lang w:val="ro-RO"/>
              </w:rPr>
              <w:t>120 ore</w:t>
            </w:r>
          </w:p>
        </w:tc>
        <w:tc>
          <w:tcPr>
            <w:tcW w:w="3118" w:type="dxa"/>
            <w:tcBorders>
              <w:top w:val="single" w:color="000000" w:sz="4" w:space="0"/>
              <w:left w:val="single" w:color="000000" w:sz="4" w:space="0"/>
              <w:bottom w:val="single" w:color="000000" w:sz="4" w:space="0"/>
              <w:right w:val="single" w:color="000000" w:sz="4" w:space="0"/>
            </w:tcBorders>
            <w:vAlign w:val="center"/>
          </w:tcPr>
          <w:p w14:paraId="4708C2FD">
            <w:pPr>
              <w:widowControl w:val="0"/>
              <w:ind w:right="28"/>
              <w:jc w:val="center"/>
              <w:rPr>
                <w:iCs/>
                <w:spacing w:val="-4"/>
                <w:sz w:val="22"/>
                <w:szCs w:val="22"/>
                <w:lang w:val="ro-RO"/>
              </w:rPr>
            </w:pPr>
            <w:r>
              <w:rPr>
                <w:rStyle w:val="51"/>
                <w:i w:val="0"/>
              </w:rPr>
              <w:t>168 ore</w:t>
            </w:r>
          </w:p>
        </w:tc>
      </w:tr>
    </w:tbl>
    <w:p w14:paraId="02DA2714">
      <w:pPr>
        <w:pStyle w:val="4"/>
        <w:numPr>
          <w:ilvl w:val="0"/>
          <w:numId w:val="0"/>
        </w:numPr>
        <w:spacing w:before="120" w:after="120" w:line="240" w:lineRule="auto"/>
        <w:ind w:left="578"/>
        <w:contextualSpacing w:val="0"/>
        <w:rPr>
          <w:sz w:val="22"/>
          <w:szCs w:val="22"/>
          <w:lang w:val="ro-RO"/>
        </w:rPr>
      </w:pPr>
    </w:p>
    <w:p w14:paraId="0619DB33">
      <w:pPr>
        <w:pStyle w:val="4"/>
        <w:numPr>
          <w:ilvl w:val="1"/>
          <w:numId w:val="3"/>
        </w:numPr>
        <w:spacing w:before="120" w:after="120" w:line="240" w:lineRule="auto"/>
        <w:ind w:left="578" w:hanging="578"/>
        <w:contextualSpacing w:val="0"/>
        <w:rPr>
          <w:sz w:val="22"/>
          <w:szCs w:val="22"/>
          <w:lang w:val="ro-RO"/>
        </w:rPr>
      </w:pPr>
      <w:bookmarkStart w:id="29" w:name="_Toc11468"/>
      <w:r>
        <w:rPr>
          <w:sz w:val="22"/>
          <w:szCs w:val="22"/>
          <w:lang w:val="ro-RO"/>
        </w:rPr>
        <w:t>Piese de schimb și materiale consumabile pentru activitățile din programul de mentenanță corectiva după expirarea garanției (dacă este cazul)</w:t>
      </w:r>
      <w:bookmarkEnd w:id="29"/>
    </w:p>
    <w:p w14:paraId="732B6F56">
      <w:pPr>
        <w:ind w:left="20"/>
        <w:contextualSpacing/>
        <w:jc w:val="both"/>
        <w:rPr>
          <w:rStyle w:val="43"/>
          <w:rFonts w:hint="default" w:eastAsiaTheme="minorHAnsi"/>
          <w:b w:val="0"/>
          <w:bCs w:val="0"/>
          <w:i w:val="0"/>
          <w:iCs w:val="0"/>
          <w:lang w:val="en-US"/>
        </w:rPr>
      </w:pPr>
      <w:r>
        <w:rPr>
          <w:rStyle w:val="43"/>
          <w:rFonts w:hint="default" w:eastAsiaTheme="minorHAnsi"/>
          <w:b w:val="0"/>
          <w:bCs w:val="0"/>
          <w:i w:val="0"/>
          <w:iCs w:val="0"/>
          <w:color w:val="auto"/>
          <w:u w:val="none"/>
          <w:lang w:val="en-US"/>
        </w:rPr>
        <w:t>Nu este cazul</w:t>
      </w:r>
      <w:r>
        <w:rPr>
          <w:rStyle w:val="43"/>
          <w:rFonts w:hint="default" w:eastAsiaTheme="minorHAnsi"/>
          <w:b w:val="0"/>
          <w:bCs w:val="0"/>
          <w:i w:val="0"/>
          <w:iCs w:val="0"/>
          <w:color w:val="auto"/>
          <w:u w:val="none"/>
          <w:lang w:val="en-US"/>
        </w:rPr>
        <w:tab/>
      </w:r>
    </w:p>
    <w:p w14:paraId="645B37DE">
      <w:pPr>
        <w:pStyle w:val="4"/>
        <w:numPr>
          <w:ilvl w:val="1"/>
          <w:numId w:val="3"/>
        </w:numPr>
        <w:spacing w:before="120" w:after="120" w:line="240" w:lineRule="auto"/>
        <w:ind w:left="578" w:hanging="578"/>
        <w:contextualSpacing w:val="0"/>
        <w:rPr>
          <w:sz w:val="22"/>
          <w:szCs w:val="22"/>
          <w:lang w:val="ro-RO"/>
        </w:rPr>
      </w:pPr>
      <w:bookmarkStart w:id="30" w:name="_Toc20901"/>
      <w:r>
        <w:rPr>
          <w:sz w:val="22"/>
          <w:szCs w:val="22"/>
          <w:lang w:val="ro-RO"/>
        </w:rPr>
        <w:t>Mediul în care este operat produsul</w:t>
      </w:r>
      <w:bookmarkEnd w:id="30"/>
    </w:p>
    <w:p w14:paraId="1A7B22C8">
      <w:pPr>
        <w:widowControl w:val="0"/>
        <w:spacing w:before="120" w:after="120"/>
        <w:jc w:val="both"/>
        <w:rPr>
          <w:iCs/>
          <w:spacing w:val="-6"/>
          <w:sz w:val="22"/>
          <w:szCs w:val="22"/>
          <w:lang w:val="ro-RO"/>
        </w:rPr>
      </w:pPr>
      <w:r>
        <w:rPr>
          <w:iCs/>
          <w:spacing w:val="-6"/>
          <w:sz w:val="22"/>
          <w:szCs w:val="22"/>
          <w:lang w:val="ro-RO"/>
        </w:rPr>
        <w:t xml:space="preserve">Fiecare produs care va fi furnizat și recepționat conform distribuției pe locații indicată de către Beneficiar, urmând a fi montat în spațiile ce vor fi comunicate după primirea comenzii ferme privind furnizarea produselor, spații ce au ca locație sediile unităților de învățământ. </w:t>
      </w:r>
    </w:p>
    <w:p w14:paraId="00F2120D">
      <w:pPr>
        <w:ind w:left="20"/>
        <w:contextualSpacing/>
        <w:jc w:val="both"/>
        <w:rPr>
          <w:rStyle w:val="43"/>
          <w:rFonts w:eastAsiaTheme="minorHAnsi"/>
          <w:b w:val="0"/>
          <w:bCs w:val="0"/>
          <w:i w:val="0"/>
          <w:iCs w:val="0"/>
        </w:rPr>
      </w:pPr>
    </w:p>
    <w:p w14:paraId="61AB2375">
      <w:pPr>
        <w:pStyle w:val="4"/>
        <w:numPr>
          <w:ilvl w:val="1"/>
          <w:numId w:val="3"/>
        </w:numPr>
        <w:spacing w:before="120" w:after="120" w:line="240" w:lineRule="auto"/>
        <w:ind w:left="578" w:hanging="578"/>
        <w:contextualSpacing w:val="0"/>
        <w:rPr>
          <w:sz w:val="22"/>
          <w:szCs w:val="22"/>
          <w:lang w:val="ro-RO"/>
        </w:rPr>
      </w:pPr>
      <w:bookmarkStart w:id="31" w:name="_Toc2779"/>
      <w:r>
        <w:rPr>
          <w:sz w:val="22"/>
          <w:szCs w:val="22"/>
          <w:lang w:val="ro-RO"/>
        </w:rPr>
        <w:t>Constrângeri privind locația unde se va efectua livrarea/instalarea</w:t>
      </w:r>
      <w:bookmarkEnd w:id="31"/>
    </w:p>
    <w:p w14:paraId="7D7C3C2F">
      <w:pPr>
        <w:widowControl w:val="0"/>
        <w:spacing w:before="120" w:after="120"/>
        <w:jc w:val="both"/>
        <w:rPr>
          <w:iCs/>
          <w:spacing w:val="-6"/>
          <w:sz w:val="22"/>
          <w:szCs w:val="22"/>
          <w:lang w:val="ro-RO"/>
        </w:rPr>
      </w:pPr>
      <w:r>
        <w:rPr>
          <w:iCs/>
          <w:spacing w:val="-6"/>
          <w:sz w:val="22"/>
          <w:szCs w:val="22"/>
          <w:lang w:val="ro-RO"/>
        </w:rPr>
        <w:t xml:space="preserve">Pentru produsele care au o greutate mare, fiind greu de manevrat, transportat, furnizorul are obligația de a lua în calcul necesitatea asigurării, în colaborare cu reprezentanții Autorității contractante și a unității de învățământ implicate, de personal suficient sau de utilaje de transport, manevrare, dacă este cazul. </w:t>
      </w:r>
    </w:p>
    <w:p w14:paraId="221DC5F8">
      <w:pPr>
        <w:pStyle w:val="30"/>
        <w:shd w:val="clear" w:color="auto" w:fill="auto"/>
        <w:spacing w:line="240" w:lineRule="auto"/>
        <w:ind w:left="20" w:right="20" w:firstLine="440"/>
        <w:contextualSpacing/>
        <w:rPr>
          <w:b w:val="0"/>
          <w:bCs w:val="0"/>
          <w:sz w:val="22"/>
          <w:szCs w:val="22"/>
          <w:lang w:val="ro-RO"/>
        </w:rPr>
      </w:pPr>
    </w:p>
    <w:p w14:paraId="6B408E56">
      <w:pPr>
        <w:pStyle w:val="2"/>
        <w:spacing w:line="240" w:lineRule="auto"/>
        <w:rPr>
          <w:sz w:val="22"/>
          <w:szCs w:val="22"/>
          <w:lang w:val="ro-RO" w:eastAsia="ro-RO" w:bidi="ro-RO"/>
        </w:rPr>
      </w:pPr>
      <w:bookmarkStart w:id="32" w:name="_Toc11940"/>
      <w:r>
        <w:rPr>
          <w:sz w:val="22"/>
          <w:szCs w:val="22"/>
          <w:lang w:val="ro-RO" w:eastAsia="ro-RO" w:bidi="ro-RO"/>
        </w:rPr>
        <w:t>Atribuții și responsabilitățile părților</w:t>
      </w:r>
      <w:bookmarkEnd w:id="32"/>
    </w:p>
    <w:p w14:paraId="26A171E1">
      <w:pPr>
        <w:pStyle w:val="71"/>
        <w:spacing w:before="120" w:after="120"/>
        <w:jc w:val="both"/>
        <w:rPr>
          <w:rFonts w:ascii="Times New Roman" w:hAnsi="Times New Roman" w:cs="Times New Roman"/>
          <w:iCs/>
          <w:spacing w:val="-4"/>
          <w:sz w:val="22"/>
          <w:szCs w:val="22"/>
        </w:rPr>
      </w:pPr>
      <w:r>
        <w:rPr>
          <w:rFonts w:ascii="Times New Roman" w:hAnsi="Times New Roman" w:cs="Times New Roman"/>
          <w:iCs/>
          <w:spacing w:val="-4"/>
          <w:sz w:val="22"/>
          <w:szCs w:val="22"/>
        </w:rPr>
        <w:t>În raport cu produsele solicitate și cu cerințele stipulate în prezentul Caiet de Sarcini, responsabilitățile și atribuțiile părților sunt:</w:t>
      </w:r>
    </w:p>
    <w:p w14:paraId="1A9A894D">
      <w:pPr>
        <w:pStyle w:val="71"/>
        <w:spacing w:before="120" w:after="120"/>
        <w:jc w:val="both"/>
        <w:rPr>
          <w:rFonts w:ascii="Times New Roman" w:hAnsi="Times New Roman" w:cs="Times New Roman"/>
          <w:iCs/>
          <w:spacing w:val="-4"/>
          <w:sz w:val="22"/>
          <w:szCs w:val="22"/>
        </w:rPr>
      </w:pPr>
    </w:p>
    <w:p w14:paraId="35920A2B">
      <w:pPr>
        <w:pStyle w:val="56"/>
        <w:keepNext/>
        <w:keepLines/>
        <w:widowControl w:val="0"/>
        <w:numPr>
          <w:ilvl w:val="0"/>
          <w:numId w:val="3"/>
        </w:numPr>
        <w:tabs>
          <w:tab w:val="left" w:pos="1176"/>
        </w:tabs>
        <w:spacing w:before="120" w:after="120"/>
        <w:jc w:val="both"/>
        <w:outlineLvl w:val="1"/>
        <w:rPr>
          <w:b/>
          <w:bCs/>
          <w:vanish/>
          <w:sz w:val="22"/>
          <w:szCs w:val="22"/>
          <w:lang w:eastAsia="en-GB"/>
        </w:rPr>
      </w:pPr>
      <w:bookmarkStart w:id="33" w:name="_Toc159326126"/>
      <w:bookmarkEnd w:id="33"/>
    </w:p>
    <w:p w14:paraId="3E9CDA21">
      <w:pPr>
        <w:pStyle w:val="4"/>
        <w:numPr>
          <w:ilvl w:val="1"/>
          <w:numId w:val="3"/>
        </w:numPr>
        <w:spacing w:before="120" w:after="120" w:line="240" w:lineRule="auto"/>
        <w:contextualSpacing w:val="0"/>
        <w:rPr>
          <w:sz w:val="22"/>
          <w:szCs w:val="22"/>
          <w:lang w:val="ro-RO"/>
        </w:rPr>
      </w:pPr>
      <w:bookmarkStart w:id="34" w:name="_Toc16636"/>
      <w:r>
        <w:rPr>
          <w:sz w:val="22"/>
          <w:szCs w:val="22"/>
          <w:lang w:val="ro-RO"/>
        </w:rPr>
        <w:t>Obligațiile Furnizorului</w:t>
      </w:r>
      <w:bookmarkEnd w:id="34"/>
    </w:p>
    <w:p w14:paraId="2268FAE8">
      <w:pPr>
        <w:pStyle w:val="71"/>
        <w:spacing w:before="120" w:after="120"/>
        <w:jc w:val="both"/>
        <w:rPr>
          <w:rFonts w:ascii="Times New Roman" w:hAnsi="Times New Roman" w:cs="Times New Roman"/>
          <w:i/>
          <w:spacing w:val="-4"/>
          <w:sz w:val="22"/>
          <w:szCs w:val="22"/>
        </w:rPr>
      </w:pPr>
      <w:r>
        <w:rPr>
          <w:rFonts w:ascii="Times New Roman" w:hAnsi="Times New Roman" w:cs="Times New Roman"/>
          <w:i/>
          <w:spacing w:val="-4"/>
          <w:sz w:val="22"/>
          <w:szCs w:val="22"/>
        </w:rPr>
        <w:t xml:space="preserve">Ofertantul are următoarele obligații principale (după ce va dobândi calitatea de Furnizor): </w:t>
      </w:r>
    </w:p>
    <w:p w14:paraId="306E64BC">
      <w:pPr>
        <w:pStyle w:val="71"/>
        <w:numPr>
          <w:ilvl w:val="1"/>
          <w:numId w:val="10"/>
        </w:numPr>
        <w:spacing w:before="120" w:after="120"/>
        <w:ind w:left="630"/>
        <w:jc w:val="both"/>
        <w:rPr>
          <w:rFonts w:ascii="Times New Roman" w:hAnsi="Times New Roman" w:cs="Times New Roman"/>
          <w:iCs/>
          <w:spacing w:val="-4"/>
          <w:sz w:val="22"/>
          <w:szCs w:val="22"/>
        </w:rPr>
      </w:pPr>
      <w:r>
        <w:rPr>
          <w:rFonts w:ascii="Times New Roman" w:hAnsi="Times New Roman" w:cs="Times New Roman"/>
          <w:iCs/>
          <w:spacing w:val="-4"/>
          <w:sz w:val="22"/>
          <w:szCs w:val="22"/>
        </w:rPr>
        <w:t xml:space="preserve">mobilizarea de resurse suficiente și cu expertiză adecvată pentru a asigura gestionarea contractului, astfel cum este solicitat la nivelul Caietului de Sarcini, </w:t>
      </w:r>
    </w:p>
    <w:p w14:paraId="161B3A98">
      <w:pPr>
        <w:pStyle w:val="71"/>
        <w:numPr>
          <w:ilvl w:val="1"/>
          <w:numId w:val="10"/>
        </w:numPr>
        <w:spacing w:before="120" w:after="120"/>
        <w:ind w:left="630"/>
        <w:jc w:val="both"/>
        <w:rPr>
          <w:rFonts w:ascii="Times New Roman" w:hAnsi="Times New Roman" w:cs="Times New Roman"/>
          <w:iCs/>
          <w:spacing w:val="-4"/>
          <w:sz w:val="22"/>
          <w:szCs w:val="22"/>
        </w:rPr>
      </w:pPr>
      <w:r>
        <w:rPr>
          <w:rFonts w:ascii="Times New Roman" w:hAnsi="Times New Roman" w:cs="Times New Roman"/>
          <w:iCs/>
          <w:spacing w:val="-4"/>
          <w:sz w:val="22"/>
          <w:szCs w:val="22"/>
        </w:rPr>
        <w:t xml:space="preserve">îndeplinirea obligațiilor contractuale, cu respectarea bunelor practici din domeniu, a prevederilor legale și contractuale relevante, astfel încât să se asigure că obligațiile sunt îndeplinite la parametrii solicitați, </w:t>
      </w:r>
    </w:p>
    <w:p w14:paraId="2DA398D6">
      <w:pPr>
        <w:pStyle w:val="71"/>
        <w:numPr>
          <w:ilvl w:val="1"/>
          <w:numId w:val="10"/>
        </w:numPr>
        <w:spacing w:before="120" w:after="120"/>
        <w:ind w:left="630"/>
        <w:jc w:val="both"/>
        <w:rPr>
          <w:rFonts w:ascii="Times New Roman" w:hAnsi="Times New Roman" w:cs="Times New Roman"/>
          <w:iCs/>
          <w:spacing w:val="-4"/>
          <w:sz w:val="22"/>
          <w:szCs w:val="22"/>
        </w:rPr>
      </w:pPr>
      <w:r>
        <w:rPr>
          <w:rFonts w:ascii="Times New Roman" w:hAnsi="Times New Roman" w:cs="Times New Roman"/>
          <w:iCs/>
          <w:spacing w:val="-4"/>
          <w:sz w:val="22"/>
          <w:szCs w:val="22"/>
        </w:rPr>
        <w:t xml:space="preserve">asigurarea unui grad de flexibilitate în planificarea modalității de gestionare a contractului, pe toată durata de derulare a contractului, </w:t>
      </w:r>
    </w:p>
    <w:p w14:paraId="782B0562">
      <w:pPr>
        <w:pStyle w:val="71"/>
        <w:numPr>
          <w:ilvl w:val="1"/>
          <w:numId w:val="10"/>
        </w:numPr>
        <w:spacing w:before="120" w:after="120"/>
        <w:ind w:left="630"/>
        <w:jc w:val="both"/>
        <w:rPr>
          <w:rFonts w:ascii="Times New Roman" w:hAnsi="Times New Roman" w:cs="Times New Roman"/>
          <w:iCs/>
          <w:spacing w:val="-4"/>
          <w:sz w:val="22"/>
          <w:szCs w:val="22"/>
        </w:rPr>
      </w:pPr>
      <w:r>
        <w:rPr>
          <w:rFonts w:ascii="Times New Roman" w:hAnsi="Times New Roman" w:cs="Times New Roman"/>
          <w:iCs/>
          <w:spacing w:val="-4"/>
          <w:sz w:val="22"/>
          <w:szCs w:val="22"/>
        </w:rPr>
        <w:t xml:space="preserve">transmiterea datelor de identificare și de contact ale personalului alocat pentru executarea contractului </w:t>
      </w:r>
    </w:p>
    <w:p w14:paraId="257A70EC">
      <w:pPr>
        <w:pStyle w:val="71"/>
        <w:numPr>
          <w:ilvl w:val="1"/>
          <w:numId w:val="10"/>
        </w:numPr>
        <w:spacing w:before="120" w:after="120"/>
        <w:ind w:left="630"/>
        <w:jc w:val="both"/>
        <w:rPr>
          <w:rFonts w:ascii="Times New Roman" w:hAnsi="Times New Roman" w:cs="Times New Roman"/>
          <w:iCs/>
          <w:spacing w:val="-4"/>
          <w:sz w:val="22"/>
          <w:szCs w:val="22"/>
        </w:rPr>
      </w:pPr>
      <w:r>
        <w:rPr>
          <w:rFonts w:ascii="Times New Roman" w:hAnsi="Times New Roman" w:cs="Times New Roman"/>
          <w:iCs/>
          <w:spacing w:val="-4"/>
          <w:sz w:val="22"/>
          <w:szCs w:val="22"/>
        </w:rPr>
        <w:t xml:space="preserve">colaborarea cu personalul autorității contractante alocat pentru verificarea produselor livrate și realizarea recepțiilor, </w:t>
      </w:r>
    </w:p>
    <w:p w14:paraId="654ACBFF">
      <w:pPr>
        <w:pStyle w:val="71"/>
        <w:numPr>
          <w:ilvl w:val="1"/>
          <w:numId w:val="10"/>
        </w:numPr>
        <w:spacing w:before="120" w:after="120"/>
        <w:ind w:left="630"/>
        <w:jc w:val="both"/>
        <w:rPr>
          <w:rFonts w:ascii="Times New Roman" w:hAnsi="Times New Roman" w:cs="Times New Roman"/>
          <w:iCs/>
          <w:spacing w:val="-4"/>
          <w:sz w:val="22"/>
          <w:szCs w:val="22"/>
        </w:rPr>
      </w:pPr>
      <w:r>
        <w:rPr>
          <w:rFonts w:ascii="Times New Roman" w:hAnsi="Times New Roman" w:cs="Times New Roman"/>
          <w:iCs/>
          <w:spacing w:val="-4"/>
          <w:sz w:val="22"/>
          <w:szCs w:val="22"/>
        </w:rPr>
        <w:t xml:space="preserve">reducerea, în măsura posibilă, la minim, a situațiilor de întârzieri în efectuarea livrărilor, minimizând astfel impactul negativ asupra activității autorității contractante, </w:t>
      </w:r>
    </w:p>
    <w:p w14:paraId="0180F3AC">
      <w:pPr>
        <w:pStyle w:val="71"/>
        <w:numPr>
          <w:ilvl w:val="1"/>
          <w:numId w:val="10"/>
        </w:numPr>
        <w:spacing w:before="120" w:after="120"/>
        <w:ind w:left="630"/>
        <w:jc w:val="both"/>
        <w:rPr>
          <w:rFonts w:ascii="Times New Roman" w:hAnsi="Times New Roman" w:cs="Times New Roman"/>
          <w:iCs/>
          <w:spacing w:val="-4"/>
          <w:sz w:val="22"/>
          <w:szCs w:val="22"/>
        </w:rPr>
      </w:pPr>
      <w:r>
        <w:rPr>
          <w:rFonts w:ascii="Times New Roman" w:hAnsi="Times New Roman" w:cs="Times New Roman"/>
          <w:iCs/>
          <w:spacing w:val="-4"/>
          <w:sz w:val="22"/>
          <w:szCs w:val="22"/>
        </w:rPr>
        <w:t xml:space="preserve">asigurarea că orice documente, documentații și/sau instrucțiuni furnizate către personalul autorității contractante sunt exacte și elaborate în conformitate cu bunele practici specifice în domeniu, </w:t>
      </w:r>
    </w:p>
    <w:p w14:paraId="4B10AE87">
      <w:pPr>
        <w:pStyle w:val="71"/>
        <w:numPr>
          <w:ilvl w:val="1"/>
          <w:numId w:val="10"/>
        </w:numPr>
        <w:spacing w:before="120" w:after="120"/>
        <w:ind w:left="630"/>
        <w:jc w:val="both"/>
        <w:rPr>
          <w:rFonts w:ascii="Times New Roman" w:hAnsi="Times New Roman" w:cs="Times New Roman"/>
          <w:iCs/>
          <w:spacing w:val="-4"/>
          <w:sz w:val="22"/>
          <w:szCs w:val="22"/>
        </w:rPr>
      </w:pPr>
      <w:r>
        <w:rPr>
          <w:rFonts w:ascii="Times New Roman" w:hAnsi="Times New Roman" w:cs="Times New Roman"/>
          <w:iCs/>
          <w:spacing w:val="-4"/>
          <w:sz w:val="22"/>
          <w:szCs w:val="22"/>
        </w:rPr>
        <w:t xml:space="preserve">prezentarea rapoartelor solicitate de personalul autorității contractante, potrivit cerințelor de raportare stabilite prin Contract, </w:t>
      </w:r>
    </w:p>
    <w:p w14:paraId="5A044EDA">
      <w:pPr>
        <w:pStyle w:val="71"/>
        <w:numPr>
          <w:ilvl w:val="1"/>
          <w:numId w:val="10"/>
        </w:numPr>
        <w:spacing w:before="120" w:after="120"/>
        <w:ind w:left="630"/>
        <w:jc w:val="both"/>
        <w:rPr>
          <w:rFonts w:ascii="Times New Roman" w:hAnsi="Times New Roman" w:cs="Times New Roman"/>
          <w:iCs/>
          <w:spacing w:val="-4"/>
          <w:sz w:val="22"/>
          <w:szCs w:val="22"/>
        </w:rPr>
      </w:pPr>
      <w:r>
        <w:rPr>
          <w:rFonts w:ascii="Times New Roman" w:hAnsi="Times New Roman" w:cs="Times New Roman"/>
          <w:iCs/>
          <w:spacing w:val="-4"/>
          <w:sz w:val="22"/>
          <w:szCs w:val="22"/>
        </w:rPr>
        <w:t xml:space="preserve">colaborarea cu personalul autorității contractante alocat pentru furnizarea produselor care fac obiectul contractului și pentru asigurarea serviciilor accesorii. </w:t>
      </w:r>
    </w:p>
    <w:p w14:paraId="7251F661">
      <w:pPr>
        <w:pStyle w:val="71"/>
        <w:spacing w:before="120" w:after="120"/>
        <w:jc w:val="both"/>
        <w:rPr>
          <w:rFonts w:ascii="Times New Roman" w:hAnsi="Times New Roman" w:cs="Times New Roman"/>
          <w:i/>
          <w:spacing w:val="-4"/>
          <w:sz w:val="22"/>
          <w:szCs w:val="22"/>
        </w:rPr>
      </w:pPr>
      <w:r>
        <w:rPr>
          <w:rFonts w:ascii="Times New Roman" w:hAnsi="Times New Roman" w:cs="Times New Roman"/>
          <w:i/>
          <w:spacing w:val="-4"/>
          <w:sz w:val="22"/>
          <w:szCs w:val="22"/>
        </w:rPr>
        <w:t xml:space="preserve">Ofertantul are următoarele obligații specifice (după ce va dobândi calitatea de Furnizor): </w:t>
      </w:r>
    </w:p>
    <w:p w14:paraId="4D65EABD">
      <w:pPr>
        <w:pStyle w:val="56"/>
        <w:widowControl w:val="0"/>
        <w:numPr>
          <w:ilvl w:val="0"/>
          <w:numId w:val="11"/>
        </w:numPr>
        <w:spacing w:before="120" w:after="120"/>
        <w:ind w:left="714" w:hanging="357"/>
        <w:jc w:val="both"/>
        <w:rPr>
          <w:spacing w:val="-4"/>
          <w:sz w:val="22"/>
          <w:szCs w:val="22"/>
        </w:rPr>
      </w:pPr>
      <w:r>
        <w:rPr>
          <w:spacing w:val="-4"/>
          <w:sz w:val="22"/>
          <w:szCs w:val="22"/>
        </w:rPr>
        <w:t>va furniza produsele și își va îndeplini obligațiile în condițiile stabilite prin Contract, cu respectarea prevederilor documentației de atribuire și a ofertei în baza căreia i-a fost adjudecat contractul.</w:t>
      </w:r>
    </w:p>
    <w:p w14:paraId="59EB261B">
      <w:pPr>
        <w:pStyle w:val="56"/>
        <w:widowControl w:val="0"/>
        <w:numPr>
          <w:ilvl w:val="0"/>
          <w:numId w:val="11"/>
        </w:numPr>
        <w:spacing w:before="120" w:after="120"/>
        <w:ind w:left="714" w:hanging="357"/>
        <w:jc w:val="both"/>
        <w:rPr>
          <w:spacing w:val="-4"/>
          <w:sz w:val="22"/>
          <w:szCs w:val="22"/>
        </w:rPr>
      </w:pPr>
      <w:r>
        <w:rPr>
          <w:spacing w:val="-4"/>
          <w:sz w:val="22"/>
          <w:szCs w:val="22"/>
        </w:rPr>
        <w:t>va furniza produsele cu atenție, eficiență și diligență, cu respectarea dispozițiile legale, aprobările și standardele tehnice, profesionale și de calitate în vigoare.</w:t>
      </w:r>
    </w:p>
    <w:p w14:paraId="2D21C4A8">
      <w:pPr>
        <w:pStyle w:val="56"/>
        <w:widowControl w:val="0"/>
        <w:numPr>
          <w:ilvl w:val="0"/>
          <w:numId w:val="11"/>
        </w:numPr>
        <w:spacing w:before="120" w:after="120"/>
        <w:ind w:left="714" w:hanging="357"/>
        <w:jc w:val="both"/>
        <w:rPr>
          <w:i/>
          <w:iCs/>
          <w:spacing w:val="-4"/>
          <w:sz w:val="22"/>
          <w:szCs w:val="22"/>
        </w:rPr>
      </w:pPr>
      <w:r>
        <w:rPr>
          <w:spacing w:val="-4"/>
          <w:sz w:val="22"/>
          <w:szCs w:val="22"/>
        </w:rPr>
        <w:t>se obligă să depună garanția de bună execuție în termen de maxim 5 zile lucrătoare de la semnarea contractului de către ambele părți.</w:t>
      </w:r>
      <w:r>
        <w:rPr>
          <w:i/>
          <w:iCs/>
          <w:spacing w:val="-4"/>
          <w:sz w:val="22"/>
          <w:szCs w:val="22"/>
        </w:rPr>
        <w:t xml:space="preserve"> Acest termen poate fi prelungit la solicitarea justificată a contractantului, fără a depăși 15 zile de la data semnării contractului de achiziție publică.</w:t>
      </w:r>
    </w:p>
    <w:p w14:paraId="03823BA0">
      <w:pPr>
        <w:pStyle w:val="56"/>
        <w:widowControl w:val="0"/>
        <w:numPr>
          <w:ilvl w:val="0"/>
          <w:numId w:val="11"/>
        </w:numPr>
        <w:spacing w:before="120" w:after="120"/>
        <w:ind w:left="714" w:hanging="357"/>
        <w:jc w:val="both"/>
        <w:rPr>
          <w:spacing w:val="-4"/>
          <w:sz w:val="22"/>
          <w:szCs w:val="22"/>
        </w:rPr>
      </w:pPr>
      <w:r>
        <w:rPr>
          <w:spacing w:val="-4"/>
          <w:sz w:val="22"/>
          <w:szCs w:val="22"/>
        </w:rPr>
        <w:t>va respecta toate prevederile legale în vigoare în România și se va asigura că și Personalul său, implicat în Contract, va respecta prevederile legale, aprobările și standardele tehnice, profesionale și de calitate în vigoare.</w:t>
      </w:r>
    </w:p>
    <w:p w14:paraId="36360D64">
      <w:pPr>
        <w:pStyle w:val="56"/>
        <w:widowControl w:val="0"/>
        <w:numPr>
          <w:ilvl w:val="0"/>
          <w:numId w:val="11"/>
        </w:numPr>
        <w:spacing w:before="120" w:after="120"/>
        <w:ind w:left="714" w:hanging="357"/>
        <w:jc w:val="both"/>
        <w:rPr>
          <w:spacing w:val="-4"/>
          <w:sz w:val="22"/>
          <w:szCs w:val="22"/>
        </w:rPr>
      </w:pPr>
      <w:r>
        <w:rPr>
          <w:spacing w:val="-4"/>
          <w:sz w:val="22"/>
          <w:szCs w:val="22"/>
        </w:rPr>
        <w:t>Furnizorul va adopta toate măsurile necesare pentru a asigura, în mod continuu, Personalul, echipamentele și suportul necesare pentru îndeplinirea în mod eficient a obligațiilor asumate prin Contract.</w:t>
      </w:r>
    </w:p>
    <w:p w14:paraId="52AC8BDF">
      <w:pPr>
        <w:pStyle w:val="56"/>
        <w:widowControl w:val="0"/>
        <w:numPr>
          <w:ilvl w:val="0"/>
          <w:numId w:val="11"/>
        </w:numPr>
        <w:spacing w:before="120" w:after="120"/>
        <w:ind w:left="714" w:hanging="357"/>
        <w:jc w:val="both"/>
        <w:rPr>
          <w:spacing w:val="-4"/>
          <w:sz w:val="22"/>
          <w:szCs w:val="22"/>
        </w:rPr>
      </w:pPr>
      <w:r>
        <w:rPr>
          <w:spacing w:val="-4"/>
          <w:sz w:val="22"/>
          <w:szCs w:val="22"/>
        </w:rPr>
        <w:t>va desemna, în termen de 5 (cinci) zile de la semnarea contractului, persoana de contact.</w:t>
      </w:r>
    </w:p>
    <w:p w14:paraId="407EBBFC">
      <w:pPr>
        <w:pStyle w:val="56"/>
        <w:widowControl w:val="0"/>
        <w:numPr>
          <w:ilvl w:val="0"/>
          <w:numId w:val="11"/>
        </w:numPr>
        <w:spacing w:before="120" w:after="120"/>
        <w:ind w:left="714" w:hanging="357"/>
        <w:jc w:val="both"/>
        <w:rPr>
          <w:spacing w:val="-4"/>
          <w:sz w:val="22"/>
          <w:szCs w:val="22"/>
        </w:rPr>
      </w:pPr>
      <w:r>
        <w:rPr>
          <w:spacing w:val="-4"/>
          <w:sz w:val="22"/>
          <w:szCs w:val="22"/>
        </w:rPr>
        <w:t>va asigura disponibilitatea Personalului, pe toată durata Contractului. Furnizorul are obligația de a asigura desfășurarea activităților stipulate în Contract prin acoperirea cu Personal specializat pe toată durata implementării Contractului. Furnizorul trebuie să se asigure că, pentru toată perioada Contractului, Personalul principal alocat fiecărei activități vor îndeplini obligațiile stabilite în sarcina acestora.</w:t>
      </w:r>
    </w:p>
    <w:p w14:paraId="58FE8172">
      <w:pPr>
        <w:pStyle w:val="56"/>
        <w:widowControl w:val="0"/>
        <w:numPr>
          <w:ilvl w:val="0"/>
          <w:numId w:val="11"/>
        </w:numPr>
        <w:spacing w:before="120" w:after="120"/>
        <w:ind w:left="714" w:hanging="357"/>
        <w:jc w:val="both"/>
        <w:rPr>
          <w:spacing w:val="-4"/>
          <w:sz w:val="22"/>
          <w:szCs w:val="22"/>
        </w:rPr>
      </w:pPr>
      <w:r>
        <w:rPr>
          <w:spacing w:val="-4"/>
          <w:sz w:val="22"/>
          <w:szCs w:val="22"/>
        </w:rPr>
        <w:t>va emite factura aferentă produselor furnizate numai după aprobarea/recepția produselor în condițiile din Caietul de sarcini.</w:t>
      </w:r>
    </w:p>
    <w:p w14:paraId="36B8D685">
      <w:pPr>
        <w:pStyle w:val="56"/>
        <w:widowControl w:val="0"/>
        <w:numPr>
          <w:ilvl w:val="0"/>
          <w:numId w:val="11"/>
        </w:numPr>
        <w:spacing w:before="120" w:after="120"/>
        <w:ind w:left="714" w:hanging="357"/>
        <w:jc w:val="both"/>
        <w:rPr>
          <w:spacing w:val="-4"/>
          <w:sz w:val="22"/>
          <w:szCs w:val="22"/>
        </w:rPr>
      </w:pPr>
      <w:r>
        <w:rPr>
          <w:spacing w:val="-4"/>
          <w:sz w:val="22"/>
          <w:szCs w:val="22"/>
        </w:rPr>
        <w:t>este pe deplin responsabil pentru furnizarea produselor în condițiile Caietului de sarcini, în conformitate cu propunerea sa tehnică. Totodată, este răspunzător atât de siguranța tuturor operațiunilor și metodelor de prestare, cât și de calificarea personalului folosit pe toată durata contractului.</w:t>
      </w:r>
    </w:p>
    <w:p w14:paraId="6C0A7991">
      <w:pPr>
        <w:pStyle w:val="56"/>
        <w:widowControl w:val="0"/>
        <w:numPr>
          <w:ilvl w:val="0"/>
          <w:numId w:val="11"/>
        </w:numPr>
        <w:spacing w:before="120" w:after="120"/>
        <w:ind w:left="714" w:hanging="357"/>
        <w:jc w:val="both"/>
        <w:rPr>
          <w:spacing w:val="-4"/>
          <w:sz w:val="22"/>
          <w:szCs w:val="22"/>
        </w:rPr>
      </w:pPr>
      <w:r>
        <w:rPr>
          <w:spacing w:val="-4"/>
          <w:sz w:val="22"/>
          <w:szCs w:val="22"/>
        </w:rPr>
        <w:t>are obligația de a garanta faptul că Produsele livrate sunt noi, neutilizate, și că acestea corespund întocmai cu Propunerea Tehnică care a fost acceptată de către Autoritatea Contractantă.</w:t>
      </w:r>
    </w:p>
    <w:p w14:paraId="68E693ED">
      <w:pPr>
        <w:pStyle w:val="56"/>
        <w:widowControl w:val="0"/>
        <w:numPr>
          <w:ilvl w:val="0"/>
          <w:numId w:val="11"/>
        </w:numPr>
        <w:spacing w:before="120" w:after="120"/>
        <w:ind w:left="714" w:hanging="357"/>
        <w:jc w:val="both"/>
        <w:rPr>
          <w:spacing w:val="-4"/>
          <w:sz w:val="22"/>
          <w:szCs w:val="22"/>
        </w:rPr>
      </w:pPr>
      <w:r>
        <w:rPr>
          <w:spacing w:val="-4"/>
          <w:sz w:val="22"/>
          <w:szCs w:val="22"/>
        </w:rPr>
        <w:t>are obligația de a asigura garanție pentru produsele livrate, conform Propunerii Tehnice acceptată de către Autoritatea Contractantă astfel:</w:t>
      </w:r>
    </w:p>
    <w:p w14:paraId="70C5ECCC">
      <w:pPr>
        <w:pStyle w:val="56"/>
        <w:widowControl w:val="0"/>
        <w:numPr>
          <w:ilvl w:val="1"/>
          <w:numId w:val="12"/>
        </w:numPr>
        <w:spacing w:before="120" w:after="120"/>
        <w:ind w:left="993"/>
        <w:jc w:val="both"/>
        <w:rPr>
          <w:spacing w:val="-4"/>
          <w:sz w:val="22"/>
          <w:szCs w:val="22"/>
        </w:rPr>
      </w:pPr>
      <w:r>
        <w:rPr>
          <w:spacing w:val="-4"/>
          <w:sz w:val="22"/>
          <w:szCs w:val="22"/>
        </w:rPr>
        <w:t>Furnizorul are obligația de a garanta că produsele furnizate prin contract sunt noi, nefolosite. De asemenea, Furnizorul are obligația de a garanta că toate produsele furnizate nu vor avea niciun defect ca urmare a proiectului, materialelor sau manoperei (cu excepția cazului când proiectul și/sau materialul sunt cerute în mod expres de către Autoritatea Contractantă) ori oricărei alte acțiuni sau omisiuni a Furnizorului si că acestea vor funcționa în condiții normale de utilizare.</w:t>
      </w:r>
    </w:p>
    <w:p w14:paraId="741A380E">
      <w:pPr>
        <w:pStyle w:val="56"/>
        <w:widowControl w:val="0"/>
        <w:numPr>
          <w:ilvl w:val="1"/>
          <w:numId w:val="12"/>
        </w:numPr>
        <w:spacing w:before="120" w:after="120"/>
        <w:ind w:left="993"/>
        <w:jc w:val="both"/>
        <w:rPr>
          <w:spacing w:val="-4"/>
          <w:sz w:val="22"/>
          <w:szCs w:val="22"/>
        </w:rPr>
      </w:pPr>
      <w:r>
        <w:rPr>
          <w:spacing w:val="-4"/>
          <w:sz w:val="22"/>
          <w:szCs w:val="22"/>
        </w:rPr>
        <w:t xml:space="preserve">Perioada de garanție acordată produselor de către Furnizor este cea declarată în propunerea tehnică și nu poate fi mai mică decât perioada prevăzută la </w:t>
      </w:r>
      <w:r>
        <w:rPr>
          <w:b/>
          <w:bCs/>
          <w:spacing w:val="-4"/>
          <w:sz w:val="22"/>
          <w:szCs w:val="22"/>
        </w:rPr>
        <w:t>Secțiunea 3.1.1</w:t>
      </w:r>
      <w:r>
        <w:rPr>
          <w:spacing w:val="-4"/>
          <w:sz w:val="22"/>
          <w:szCs w:val="22"/>
        </w:rPr>
        <w:t xml:space="preserve"> din caietul de sarcini pentru fiecare produs în parte. Perioada de garanție a produselor începe de la data recepției efectuate după livrarea acestora la destinația indicată de către Autoritatea Contractantă și punerea lor în funcțiune. Autoritatea Contractantă are dreptul de a notifica imediat Furnizorului, în scris, orice plângere sau reclamație ce apare în conformitate cu aceasta garanție. La primirea unei astfel de notificări, Furnizorul are obligația de a înlocui produsul în perioada convenită, fără costuri suplimentare pentru Autoritatea Contractantă. Produsele care, în timpul perioadei de garanție, le înlocuiesc pe cele defecte beneficiază de o noua perioada de garanție care curge de la data înlocuirii produsului.</w:t>
      </w:r>
    </w:p>
    <w:p w14:paraId="2CE56B4C">
      <w:pPr>
        <w:pStyle w:val="56"/>
        <w:widowControl w:val="0"/>
        <w:numPr>
          <w:ilvl w:val="1"/>
          <w:numId w:val="12"/>
        </w:numPr>
        <w:spacing w:before="120" w:after="120"/>
        <w:ind w:left="993"/>
        <w:jc w:val="both"/>
        <w:rPr>
          <w:spacing w:val="-4"/>
          <w:sz w:val="22"/>
          <w:szCs w:val="22"/>
        </w:rPr>
      </w:pPr>
      <w:r>
        <w:rPr>
          <w:spacing w:val="-4"/>
          <w:sz w:val="22"/>
          <w:szCs w:val="22"/>
        </w:rPr>
        <w:t>Dacă Furnizorul, după ce a fost înștiințat, nu reușește să remedieze defectul în perioada convenită, Autoritatea Contractantă are dreptul de a lua măsuri de remediere pe riscul și pe cheltuiala Contractorului si fără a aduce niciun prejudiciu oricăror alte drepturi pe care Autoritatea Contractantă le poate avea fată de Furnizor prin contract.</w:t>
      </w:r>
    </w:p>
    <w:p w14:paraId="7851FFF9">
      <w:pPr>
        <w:pStyle w:val="56"/>
        <w:widowControl w:val="0"/>
        <w:numPr>
          <w:ilvl w:val="1"/>
          <w:numId w:val="12"/>
        </w:numPr>
        <w:spacing w:before="120" w:after="120"/>
        <w:ind w:left="993"/>
        <w:jc w:val="both"/>
        <w:rPr>
          <w:spacing w:val="-4"/>
          <w:sz w:val="22"/>
          <w:szCs w:val="22"/>
        </w:rPr>
      </w:pPr>
      <w:r>
        <w:rPr>
          <w:spacing w:val="-4"/>
          <w:sz w:val="22"/>
          <w:szCs w:val="22"/>
        </w:rPr>
        <w:t>Furnizorul va asigura service-ul necesar al produsului în garanția dată de către producător, fără costuri suplimentare din partea Autorității Contractante.</w:t>
      </w:r>
    </w:p>
    <w:p w14:paraId="7CD5EA97">
      <w:pPr>
        <w:pStyle w:val="56"/>
        <w:widowControl w:val="0"/>
        <w:numPr>
          <w:ilvl w:val="0"/>
          <w:numId w:val="11"/>
        </w:numPr>
        <w:spacing w:before="120" w:after="120"/>
        <w:ind w:left="714" w:hanging="357"/>
        <w:jc w:val="both"/>
        <w:rPr>
          <w:spacing w:val="-4"/>
          <w:sz w:val="22"/>
          <w:szCs w:val="22"/>
        </w:rPr>
      </w:pPr>
      <w:r>
        <w:rPr>
          <w:spacing w:val="-4"/>
          <w:sz w:val="22"/>
          <w:szCs w:val="22"/>
        </w:rPr>
        <w:t>Furnizorul are obligația de a asigura instalarea și punerea în funcțiune a Produselor, în mod gratuit, cu personalul propriu, la locația indicată de către Autoritatea Contractantă. La finalizarea punerii în funcțiune, părțile vor încheia un proces-verbal de punere în funcțiune</w:t>
      </w:r>
    </w:p>
    <w:p w14:paraId="4789549C">
      <w:pPr>
        <w:pStyle w:val="56"/>
        <w:widowControl w:val="0"/>
        <w:numPr>
          <w:ilvl w:val="0"/>
          <w:numId w:val="11"/>
        </w:numPr>
        <w:spacing w:before="120" w:after="120"/>
        <w:ind w:left="714" w:hanging="357"/>
        <w:jc w:val="both"/>
        <w:rPr>
          <w:spacing w:val="-4"/>
          <w:sz w:val="22"/>
          <w:szCs w:val="22"/>
        </w:rPr>
      </w:pPr>
      <w:r>
        <w:rPr>
          <w:spacing w:val="-4"/>
          <w:sz w:val="22"/>
          <w:szCs w:val="22"/>
        </w:rPr>
        <w:t>Furnizorul va lua toate măsurile necesare pentru a preveni ori stopa orice situație care ar putea compromite derularea obiectivă și imparțială a Contractului. Conflictele de interese pot apărea, în mod special, ca rezultat al intereselor economice, afinităților politice ori de naționalitate, legăturilor de rudenie ori afinitate sau al oricăror alte legături ori interese comune. Orice conflict de interese apărut în timpul derulării Contractului trebuie notificat în scris Autorității Contractante, fără întârziere.</w:t>
      </w:r>
    </w:p>
    <w:p w14:paraId="7A7FD104">
      <w:pPr>
        <w:pStyle w:val="56"/>
        <w:widowControl w:val="0"/>
        <w:numPr>
          <w:ilvl w:val="0"/>
          <w:numId w:val="11"/>
        </w:numPr>
        <w:spacing w:before="120" w:after="120"/>
        <w:ind w:left="714" w:hanging="357"/>
        <w:jc w:val="both"/>
        <w:rPr>
          <w:spacing w:val="-4"/>
          <w:sz w:val="22"/>
          <w:szCs w:val="22"/>
        </w:rPr>
      </w:pPr>
      <w:r>
        <w:rPr>
          <w:spacing w:val="-4"/>
          <w:sz w:val="22"/>
          <w:szCs w:val="22"/>
        </w:rPr>
        <w:t>Furnizorul se va asigura că Personalul său nu se află într-o situație care ar putea genera un conflict de interese. Contractorul va înlocui, imediat și fără vreo compensație din partea Autorității Contractante, orice membru al Personalului său, care se regăsește într-o astfel de situație (ex.: înlocuire, încetare, aprobare, deplasare/delegare, orar/program), cu o altă persoană ce îndeplinește condițiile minime stabilite prin prezentul Contract.</w:t>
      </w:r>
    </w:p>
    <w:p w14:paraId="14827952">
      <w:pPr>
        <w:pStyle w:val="56"/>
        <w:widowControl w:val="0"/>
        <w:numPr>
          <w:ilvl w:val="0"/>
          <w:numId w:val="11"/>
        </w:numPr>
        <w:spacing w:before="120" w:after="120"/>
        <w:ind w:left="714" w:hanging="357"/>
        <w:jc w:val="both"/>
        <w:rPr>
          <w:spacing w:val="-4"/>
          <w:sz w:val="22"/>
          <w:szCs w:val="22"/>
        </w:rPr>
      </w:pPr>
      <w:r>
        <w:rPr>
          <w:spacing w:val="-4"/>
          <w:sz w:val="22"/>
          <w:szCs w:val="22"/>
        </w:rPr>
        <w:t>Furnizorul are obligația de a respecta prevederile legale în domeniul achizițiilor publice cu privire la evitarea conflictului de interese. Furnizorul nu are dreptul de a angaja sau de a încheia orice alte înțelegeri privind furnizarea de produse, direct ori indirect, în scopul îndeplinirii Contractului, cu persoane fizice sau juridice care au fost implicate în procesul de verificare/evaluare a solicitărilor de participare/ofertelor depuse în cadrul unei proceduri de atribuire ori angajați/foști angajați ai Autorității Contractante sau ai Furnizorului de servicii de achiziție implicați în procedura de atribuire cu care Autoritatea Contractantă/ Furnizorul de servicii de achiziție implicat în procedura de atribuire a încetat relațiile contractuale ulterior atribuirii Contractului de achiziție publică, pe parcursul unei perioade de cel puțin 12 (douăsprezece) luni de la încheierea Contractului, sub sancțiunea rezoluțiunii/rezilierii contractului.</w:t>
      </w:r>
    </w:p>
    <w:p w14:paraId="6C7503CC">
      <w:pPr>
        <w:pStyle w:val="56"/>
        <w:widowControl w:val="0"/>
        <w:numPr>
          <w:ilvl w:val="0"/>
          <w:numId w:val="11"/>
        </w:numPr>
        <w:spacing w:before="120" w:after="120"/>
        <w:ind w:left="714" w:hanging="357"/>
        <w:jc w:val="both"/>
        <w:rPr>
          <w:spacing w:val="-4"/>
          <w:sz w:val="22"/>
          <w:szCs w:val="22"/>
        </w:rPr>
      </w:pPr>
      <w:r>
        <w:rPr>
          <w:spacing w:val="-4"/>
          <w:sz w:val="22"/>
          <w:szCs w:val="22"/>
        </w:rPr>
        <w:t>Furnizorul /Personalul Furnizorului /Subcontractanții va/vor acționa întotdeauna loial și imparțial și ca un consilier de încredere pentru Autoritatea Contractantă, conform regulilor și/sau codului de conduită al domeniului său de activitate precum și cu discreția necesară;</w:t>
      </w:r>
    </w:p>
    <w:p w14:paraId="601F8E1C">
      <w:pPr>
        <w:pStyle w:val="56"/>
        <w:widowControl w:val="0"/>
        <w:numPr>
          <w:ilvl w:val="0"/>
          <w:numId w:val="11"/>
        </w:numPr>
        <w:spacing w:before="120" w:after="120"/>
        <w:ind w:left="714" w:hanging="357"/>
        <w:jc w:val="both"/>
        <w:rPr>
          <w:spacing w:val="-4"/>
          <w:sz w:val="22"/>
          <w:szCs w:val="22"/>
        </w:rPr>
      </w:pPr>
      <w:r>
        <w:rPr>
          <w:spacing w:val="-4"/>
          <w:sz w:val="22"/>
          <w:szCs w:val="22"/>
        </w:rPr>
        <w:t>Furnizorul și Personalul său vor respecta secretul profesional, pe perioada executării Contractului, inclusiv pe perioada oricărei prelungiri a acestuia, precum și după încetarea Contractului</w:t>
      </w:r>
    </w:p>
    <w:p w14:paraId="359BC2AE">
      <w:pPr>
        <w:pStyle w:val="71"/>
        <w:spacing w:before="120" w:after="120"/>
        <w:jc w:val="both"/>
        <w:rPr>
          <w:rFonts w:ascii="Times New Roman" w:hAnsi="Times New Roman" w:cs="Times New Roman"/>
          <w:spacing w:val="-4"/>
          <w:sz w:val="22"/>
          <w:szCs w:val="22"/>
        </w:rPr>
      </w:pPr>
      <w:r>
        <w:rPr>
          <w:rFonts w:ascii="Times New Roman" w:hAnsi="Times New Roman" w:cs="Times New Roman"/>
          <w:spacing w:val="-4"/>
          <w:sz w:val="22"/>
          <w:szCs w:val="22"/>
        </w:rPr>
        <w:t xml:space="preserve">Obligațiile principale ale Furnizorului devenit Contractant se completează cu obligațiile prevăzute în condițiile contractuale. </w:t>
      </w:r>
    </w:p>
    <w:p w14:paraId="33886660">
      <w:pPr>
        <w:pStyle w:val="71"/>
        <w:spacing w:before="120" w:after="120"/>
        <w:jc w:val="both"/>
        <w:rPr>
          <w:rFonts w:ascii="Times New Roman" w:hAnsi="Times New Roman" w:cs="Times New Roman"/>
          <w:b/>
          <w:spacing w:val="-4"/>
          <w:sz w:val="22"/>
          <w:szCs w:val="22"/>
        </w:rPr>
      </w:pPr>
    </w:p>
    <w:p w14:paraId="12CC5090">
      <w:pPr>
        <w:pStyle w:val="4"/>
        <w:numPr>
          <w:ilvl w:val="1"/>
          <w:numId w:val="3"/>
        </w:numPr>
        <w:spacing w:before="120" w:after="120" w:line="240" w:lineRule="auto"/>
        <w:contextualSpacing w:val="0"/>
        <w:rPr>
          <w:sz w:val="22"/>
          <w:szCs w:val="22"/>
          <w:lang w:val="ro-RO"/>
        </w:rPr>
      </w:pPr>
      <w:bookmarkStart w:id="35" w:name="_Toc3343"/>
      <w:r>
        <w:rPr>
          <w:sz w:val="22"/>
          <w:szCs w:val="22"/>
          <w:lang w:val="ro-RO"/>
        </w:rPr>
        <w:t>Obligațiile Autorității Contractante</w:t>
      </w:r>
      <w:bookmarkEnd w:id="35"/>
    </w:p>
    <w:p w14:paraId="433B5611">
      <w:pPr>
        <w:pStyle w:val="71"/>
        <w:spacing w:before="120" w:after="120"/>
        <w:jc w:val="both"/>
        <w:rPr>
          <w:rFonts w:ascii="Times New Roman" w:hAnsi="Times New Roman" w:cs="Times New Roman"/>
          <w:i/>
          <w:spacing w:val="-4"/>
          <w:sz w:val="22"/>
          <w:szCs w:val="22"/>
        </w:rPr>
      </w:pPr>
      <w:r>
        <w:rPr>
          <w:rFonts w:ascii="Times New Roman" w:hAnsi="Times New Roman" w:cs="Times New Roman"/>
          <w:i/>
          <w:spacing w:val="-4"/>
          <w:sz w:val="22"/>
          <w:szCs w:val="22"/>
        </w:rPr>
        <w:t xml:space="preserve">Autoritatea Contractantă are următoarele obligații principale: </w:t>
      </w:r>
    </w:p>
    <w:p w14:paraId="56619507">
      <w:pPr>
        <w:pStyle w:val="56"/>
        <w:widowControl w:val="0"/>
        <w:numPr>
          <w:ilvl w:val="0"/>
          <w:numId w:val="13"/>
        </w:numPr>
        <w:spacing w:before="120" w:after="120"/>
        <w:jc w:val="both"/>
        <w:rPr>
          <w:spacing w:val="-4"/>
          <w:sz w:val="22"/>
          <w:szCs w:val="22"/>
        </w:rPr>
      </w:pPr>
      <w:r>
        <w:rPr>
          <w:spacing w:val="-4"/>
          <w:sz w:val="22"/>
          <w:szCs w:val="22"/>
        </w:rPr>
        <w:t>desemnarea unei persoane sau a unei echipe pentru monitorizarea contractului,</w:t>
      </w:r>
    </w:p>
    <w:p w14:paraId="789F18FD">
      <w:pPr>
        <w:pStyle w:val="56"/>
        <w:widowControl w:val="0"/>
        <w:numPr>
          <w:ilvl w:val="0"/>
          <w:numId w:val="13"/>
        </w:numPr>
        <w:spacing w:before="120" w:after="120"/>
        <w:ind w:left="714" w:hanging="357"/>
        <w:jc w:val="both"/>
        <w:rPr>
          <w:spacing w:val="-4"/>
          <w:sz w:val="22"/>
          <w:szCs w:val="22"/>
        </w:rPr>
      </w:pPr>
      <w:r>
        <w:rPr>
          <w:spacing w:val="-4"/>
          <w:sz w:val="22"/>
          <w:szCs w:val="22"/>
        </w:rPr>
        <w:t>punerea la dispoziția Contractantului a tuturor informațiilor disponibile și necesare pentru derularea contractului  în timpul stabilit și la nivelul de calitate și performanță prevăzut în Caietul de Sarcini,</w:t>
      </w:r>
    </w:p>
    <w:p w14:paraId="0A8E8DE3">
      <w:pPr>
        <w:pStyle w:val="56"/>
        <w:widowControl w:val="0"/>
        <w:numPr>
          <w:ilvl w:val="0"/>
          <w:numId w:val="13"/>
        </w:numPr>
        <w:spacing w:before="120" w:after="120"/>
        <w:ind w:left="714" w:hanging="357"/>
        <w:jc w:val="both"/>
        <w:rPr>
          <w:spacing w:val="-4"/>
          <w:sz w:val="22"/>
          <w:szCs w:val="22"/>
        </w:rPr>
      </w:pPr>
      <w:r>
        <w:rPr>
          <w:spacing w:val="-4"/>
          <w:sz w:val="22"/>
          <w:szCs w:val="22"/>
        </w:rPr>
        <w:t xml:space="preserve">asigurarea accesului în spațiile în care urmează a se realiza livrarea, după caz instalarea produselor; </w:t>
      </w:r>
    </w:p>
    <w:p w14:paraId="19E5E734">
      <w:pPr>
        <w:pStyle w:val="56"/>
        <w:widowControl w:val="0"/>
        <w:numPr>
          <w:ilvl w:val="0"/>
          <w:numId w:val="13"/>
        </w:numPr>
        <w:spacing w:before="120" w:after="120"/>
        <w:ind w:left="714" w:hanging="357"/>
        <w:jc w:val="both"/>
        <w:rPr>
          <w:spacing w:val="-4"/>
          <w:sz w:val="22"/>
          <w:szCs w:val="22"/>
        </w:rPr>
      </w:pPr>
      <w:r>
        <w:rPr>
          <w:spacing w:val="-4"/>
          <w:sz w:val="22"/>
          <w:szCs w:val="22"/>
        </w:rPr>
        <w:t>mobilizarea tuturor resurselor care sunt în sarcina sa, pentru buna derulare a contractului,</w:t>
      </w:r>
    </w:p>
    <w:p w14:paraId="23E37009">
      <w:pPr>
        <w:pStyle w:val="56"/>
        <w:widowControl w:val="0"/>
        <w:numPr>
          <w:ilvl w:val="0"/>
          <w:numId w:val="13"/>
        </w:numPr>
        <w:spacing w:before="120" w:after="120"/>
        <w:ind w:left="714" w:hanging="357"/>
        <w:jc w:val="both"/>
        <w:rPr>
          <w:spacing w:val="-4"/>
          <w:sz w:val="22"/>
          <w:szCs w:val="22"/>
        </w:rPr>
      </w:pPr>
      <w:r>
        <w:rPr>
          <w:spacing w:val="-4"/>
          <w:sz w:val="22"/>
          <w:szCs w:val="22"/>
        </w:rPr>
        <w:t>colaborarea cu Contractantul pentru a identifica în timp util orice eventuale probleme care ar putea apărea pe parcursul derulării contractului,</w:t>
      </w:r>
    </w:p>
    <w:p w14:paraId="674DE14F">
      <w:pPr>
        <w:pStyle w:val="56"/>
        <w:widowControl w:val="0"/>
        <w:numPr>
          <w:ilvl w:val="0"/>
          <w:numId w:val="13"/>
        </w:numPr>
        <w:spacing w:before="120" w:after="120"/>
        <w:ind w:left="714" w:hanging="357"/>
        <w:jc w:val="both"/>
        <w:rPr>
          <w:spacing w:val="-4"/>
          <w:sz w:val="22"/>
          <w:szCs w:val="22"/>
        </w:rPr>
      </w:pPr>
      <w:r>
        <w:rPr>
          <w:spacing w:val="-4"/>
          <w:sz w:val="22"/>
          <w:szCs w:val="22"/>
        </w:rPr>
        <w:t xml:space="preserve">asigurarea acurateței oricăror informații puse la dispoziția Contractantului pe durata derulării contractului, </w:t>
      </w:r>
    </w:p>
    <w:p w14:paraId="31C97DF3">
      <w:pPr>
        <w:pStyle w:val="56"/>
        <w:widowControl w:val="0"/>
        <w:numPr>
          <w:ilvl w:val="0"/>
          <w:numId w:val="13"/>
        </w:numPr>
        <w:spacing w:before="120" w:after="120"/>
        <w:ind w:left="714" w:hanging="357"/>
        <w:jc w:val="both"/>
        <w:rPr>
          <w:spacing w:val="-4"/>
          <w:sz w:val="22"/>
          <w:szCs w:val="22"/>
        </w:rPr>
      </w:pPr>
      <w:r>
        <w:rPr>
          <w:spacing w:val="-4"/>
          <w:sz w:val="22"/>
          <w:szCs w:val="22"/>
        </w:rPr>
        <w:t>monitorizarea îndeplinirii tuturor cerințelor din Caietul de Sarcini și a oricăror elemente ale Propunerii Tehnice și Financiare pe durata derulării contractului</w:t>
      </w:r>
      <w:r>
        <w:rPr>
          <w:rFonts w:hint="default"/>
          <w:spacing w:val="-4"/>
          <w:sz w:val="22"/>
          <w:szCs w:val="22"/>
          <w:lang w:val="ro-RO"/>
        </w:rPr>
        <w:t>,</w:t>
      </w:r>
      <w:r>
        <w:rPr>
          <w:spacing w:val="-4"/>
          <w:sz w:val="22"/>
          <w:szCs w:val="22"/>
        </w:rPr>
        <w:t xml:space="preserve"> </w:t>
      </w:r>
    </w:p>
    <w:p w14:paraId="19F19C7C">
      <w:pPr>
        <w:pStyle w:val="56"/>
        <w:widowControl w:val="0"/>
        <w:numPr>
          <w:ilvl w:val="0"/>
          <w:numId w:val="13"/>
        </w:numPr>
        <w:spacing w:before="120" w:after="120"/>
        <w:ind w:left="714" w:hanging="357"/>
        <w:jc w:val="both"/>
        <w:rPr>
          <w:spacing w:val="-4"/>
          <w:sz w:val="22"/>
          <w:szCs w:val="22"/>
        </w:rPr>
      </w:pPr>
      <w:r>
        <w:rPr>
          <w:spacing w:val="-4"/>
          <w:sz w:val="22"/>
          <w:szCs w:val="22"/>
        </w:rPr>
        <w:t xml:space="preserve">notificarea Contractantului prin canalele de comunicație puse la dispoziție de acesta privind orice incidente sau disfuncționalități care intervin pe perioada de derulare a contractului, </w:t>
      </w:r>
    </w:p>
    <w:p w14:paraId="650D0647">
      <w:pPr>
        <w:pStyle w:val="56"/>
        <w:widowControl w:val="0"/>
        <w:numPr>
          <w:ilvl w:val="0"/>
          <w:numId w:val="13"/>
        </w:numPr>
        <w:spacing w:before="120" w:after="120"/>
        <w:ind w:left="714" w:hanging="357"/>
        <w:jc w:val="both"/>
        <w:rPr>
          <w:spacing w:val="-4"/>
          <w:sz w:val="22"/>
          <w:szCs w:val="22"/>
        </w:rPr>
      </w:pPr>
      <w:r>
        <w:rPr>
          <w:spacing w:val="-4"/>
          <w:sz w:val="22"/>
          <w:szCs w:val="22"/>
        </w:rPr>
        <w:t>verificarea tuturor documentelor asociate recepției produselor și serviciilor suport care fac obiectul contractului, respectiv care confirmă furnizarea produselor potrivit condițiilor de calitate stabilite în Caietul de sarcini.</w:t>
      </w:r>
    </w:p>
    <w:p w14:paraId="401E60E8">
      <w:pPr>
        <w:pStyle w:val="56"/>
        <w:widowControl w:val="0"/>
        <w:numPr>
          <w:ilvl w:val="0"/>
          <w:numId w:val="13"/>
        </w:numPr>
        <w:spacing w:before="120" w:after="120"/>
        <w:ind w:left="714" w:hanging="357"/>
        <w:jc w:val="both"/>
        <w:rPr>
          <w:color w:val="auto"/>
          <w:spacing w:val="-4"/>
          <w:sz w:val="22"/>
          <w:szCs w:val="22"/>
        </w:rPr>
      </w:pPr>
      <w:r>
        <w:rPr>
          <w:color w:val="auto"/>
          <w:spacing w:val="-4"/>
          <w:sz w:val="22"/>
          <w:szCs w:val="22"/>
        </w:rPr>
        <w:t>Primire si recepționarea produselor furnizate daca acestea corespund cerințelor din prezentul caiet de sarcini.</w:t>
      </w:r>
    </w:p>
    <w:p w14:paraId="44BE3AE1">
      <w:pPr>
        <w:pStyle w:val="56"/>
        <w:widowControl w:val="0"/>
        <w:numPr>
          <w:ilvl w:val="0"/>
          <w:numId w:val="13"/>
        </w:numPr>
        <w:spacing w:before="120" w:after="120"/>
        <w:ind w:left="714" w:hanging="357"/>
        <w:jc w:val="both"/>
        <w:rPr>
          <w:color w:val="auto"/>
          <w:spacing w:val="-4"/>
          <w:sz w:val="22"/>
          <w:szCs w:val="22"/>
        </w:rPr>
      </w:pPr>
      <w:r>
        <w:rPr>
          <w:color w:val="auto"/>
          <w:spacing w:val="-4"/>
          <w:sz w:val="22"/>
          <w:szCs w:val="22"/>
        </w:rPr>
        <w:t>Plata produselor furnizate și recepționate în condițiile menționate în prezentul caiet de sarcini.</w:t>
      </w:r>
    </w:p>
    <w:p w14:paraId="3FB6CBB4">
      <w:pPr>
        <w:pStyle w:val="30"/>
        <w:shd w:val="clear" w:color="auto" w:fill="auto"/>
        <w:spacing w:line="240" w:lineRule="auto"/>
        <w:ind w:left="20" w:right="20" w:firstLine="440"/>
        <w:contextualSpacing/>
        <w:rPr>
          <w:b w:val="0"/>
          <w:bCs w:val="0"/>
          <w:sz w:val="22"/>
          <w:szCs w:val="22"/>
          <w:lang w:val="ro-RO"/>
        </w:rPr>
      </w:pPr>
    </w:p>
    <w:p w14:paraId="62B1802C">
      <w:pPr>
        <w:pStyle w:val="2"/>
        <w:spacing w:line="240" w:lineRule="auto"/>
        <w:rPr>
          <w:sz w:val="22"/>
          <w:szCs w:val="22"/>
          <w:lang w:val="ro-RO"/>
        </w:rPr>
      </w:pPr>
      <w:bookmarkStart w:id="36" w:name="_Toc27379"/>
      <w:r>
        <w:rPr>
          <w:sz w:val="22"/>
          <w:szCs w:val="22"/>
          <w:lang w:val="ro-RO" w:eastAsia="ro-RO" w:bidi="ro-RO"/>
        </w:rPr>
        <w:t>Documentații ce trebuie furnizate autorității contractante în legătură cu produsul</w:t>
      </w:r>
      <w:bookmarkEnd w:id="36"/>
    </w:p>
    <w:p w14:paraId="4E8EF246">
      <w:pPr>
        <w:pStyle w:val="71"/>
        <w:spacing w:before="120" w:after="120"/>
        <w:jc w:val="both"/>
        <w:rPr>
          <w:rFonts w:ascii="Times New Roman" w:hAnsi="Times New Roman" w:cs="Times New Roman"/>
          <w:iCs/>
          <w:spacing w:val="-4"/>
          <w:sz w:val="22"/>
          <w:szCs w:val="22"/>
        </w:rPr>
      </w:pPr>
      <w:r>
        <w:rPr>
          <w:rFonts w:ascii="Times New Roman" w:hAnsi="Times New Roman" w:cs="Times New Roman"/>
          <w:iCs/>
          <w:spacing w:val="-4"/>
          <w:sz w:val="22"/>
          <w:szCs w:val="22"/>
        </w:rPr>
        <w:t xml:space="preserve">Toate produsele incluse în </w:t>
      </w:r>
      <w:r>
        <w:rPr>
          <w:rFonts w:ascii="Times New Roman" w:hAnsi="Times New Roman" w:cs="Times New Roman"/>
          <w:iCs/>
          <w:color w:val="auto"/>
          <w:spacing w:val="-4"/>
          <w:sz w:val="22"/>
          <w:szCs w:val="22"/>
        </w:rPr>
        <w:t xml:space="preserve">prezentul Caiet de sarcini vor </w:t>
      </w:r>
      <w:r>
        <w:rPr>
          <w:rFonts w:ascii="Times New Roman" w:hAnsi="Times New Roman" w:cs="Times New Roman"/>
          <w:iCs/>
          <w:spacing w:val="-4"/>
          <w:sz w:val="22"/>
          <w:szCs w:val="22"/>
        </w:rPr>
        <w:t>fi furnizate împreună cu documentația adecvată, în limba română.</w:t>
      </w:r>
    </w:p>
    <w:p w14:paraId="5CF13C8C">
      <w:pPr>
        <w:pStyle w:val="71"/>
        <w:spacing w:before="120" w:after="120"/>
        <w:jc w:val="both"/>
        <w:rPr>
          <w:rFonts w:ascii="Times New Roman" w:hAnsi="Times New Roman" w:cs="Times New Roman"/>
          <w:iCs/>
          <w:spacing w:val="-4"/>
          <w:sz w:val="22"/>
          <w:szCs w:val="22"/>
        </w:rPr>
      </w:pPr>
      <w:r>
        <w:rPr>
          <w:rFonts w:ascii="Times New Roman" w:hAnsi="Times New Roman" w:cs="Times New Roman"/>
          <w:iCs/>
          <w:spacing w:val="-4"/>
          <w:sz w:val="22"/>
          <w:szCs w:val="22"/>
        </w:rPr>
        <w:t>Astfel, documentațiile pe care Contractorul trebuie să le livreze Autorității Contractante în cadrul contractului sunt:</w:t>
      </w:r>
    </w:p>
    <w:p w14:paraId="2DACADE3">
      <w:pPr>
        <w:pStyle w:val="56"/>
        <w:widowControl w:val="0"/>
        <w:numPr>
          <w:ilvl w:val="0"/>
          <w:numId w:val="14"/>
        </w:numPr>
        <w:spacing w:before="120" w:after="120"/>
        <w:jc w:val="both"/>
        <w:rPr>
          <w:spacing w:val="-4"/>
          <w:sz w:val="22"/>
          <w:szCs w:val="22"/>
        </w:rPr>
      </w:pPr>
      <w:r>
        <w:rPr>
          <w:spacing w:val="-4"/>
          <w:sz w:val="22"/>
          <w:szCs w:val="22"/>
        </w:rPr>
        <w:t>Factura fiscală, avizul de expediție;</w:t>
      </w:r>
    </w:p>
    <w:p w14:paraId="5497ADF0">
      <w:pPr>
        <w:pStyle w:val="56"/>
        <w:widowControl w:val="0"/>
        <w:numPr>
          <w:ilvl w:val="0"/>
          <w:numId w:val="14"/>
        </w:numPr>
        <w:spacing w:before="120" w:after="120"/>
        <w:ind w:left="714" w:hanging="357"/>
        <w:jc w:val="both"/>
        <w:rPr>
          <w:spacing w:val="-4"/>
          <w:sz w:val="22"/>
          <w:szCs w:val="22"/>
        </w:rPr>
      </w:pPr>
      <w:r>
        <w:rPr>
          <w:sz w:val="22"/>
          <w:szCs w:val="22"/>
        </w:rPr>
        <w:t>Declarația de conformitate/Certificat de calitate care atestă conformitatea/calitatea produsului cu legislația aplicabilă</w:t>
      </w:r>
      <w:r>
        <w:rPr>
          <w:spacing w:val="-4"/>
          <w:sz w:val="22"/>
          <w:szCs w:val="22"/>
        </w:rPr>
        <w:t>;</w:t>
      </w:r>
    </w:p>
    <w:p w14:paraId="59F8AD2C">
      <w:pPr>
        <w:pStyle w:val="56"/>
        <w:widowControl w:val="0"/>
        <w:numPr>
          <w:ilvl w:val="0"/>
          <w:numId w:val="14"/>
        </w:numPr>
        <w:spacing w:before="120" w:after="120"/>
        <w:ind w:left="714" w:hanging="357"/>
        <w:jc w:val="both"/>
        <w:rPr>
          <w:spacing w:val="-4"/>
          <w:sz w:val="22"/>
          <w:szCs w:val="22"/>
        </w:rPr>
      </w:pPr>
      <w:r>
        <w:rPr>
          <w:sz w:val="22"/>
          <w:szCs w:val="22"/>
        </w:rPr>
        <w:t>Garanția produselor emisă de furnizor/ producător</w:t>
      </w:r>
      <w:r>
        <w:rPr>
          <w:spacing w:val="-4"/>
          <w:sz w:val="22"/>
          <w:szCs w:val="22"/>
        </w:rPr>
        <w:t>;</w:t>
      </w:r>
    </w:p>
    <w:p w14:paraId="34185AC9">
      <w:pPr>
        <w:pStyle w:val="56"/>
        <w:widowControl w:val="0"/>
        <w:numPr>
          <w:ilvl w:val="0"/>
          <w:numId w:val="14"/>
        </w:numPr>
        <w:spacing w:before="120" w:after="120"/>
        <w:ind w:left="714" w:hanging="357"/>
        <w:jc w:val="both"/>
        <w:rPr>
          <w:spacing w:val="-4"/>
          <w:sz w:val="22"/>
          <w:szCs w:val="22"/>
        </w:rPr>
      </w:pPr>
      <w:r>
        <w:rPr>
          <w:sz w:val="22"/>
          <w:szCs w:val="22"/>
        </w:rPr>
        <w:t>Instrucțiuni de folosire / operare / mentenanță a produselor</w:t>
      </w:r>
      <w:r>
        <w:rPr>
          <w:spacing w:val="-4"/>
          <w:sz w:val="22"/>
          <w:szCs w:val="22"/>
        </w:rPr>
        <w:t>;</w:t>
      </w:r>
    </w:p>
    <w:p w14:paraId="5F282E40">
      <w:pPr>
        <w:spacing w:before="120" w:after="120"/>
        <w:jc w:val="both"/>
        <w:rPr>
          <w:i/>
          <w:sz w:val="22"/>
          <w:szCs w:val="22"/>
          <w:lang w:val="ro-RO"/>
        </w:rPr>
      </w:pPr>
    </w:p>
    <w:p w14:paraId="7DF77B8D">
      <w:pPr>
        <w:pStyle w:val="2"/>
        <w:spacing w:line="240" w:lineRule="auto"/>
        <w:rPr>
          <w:sz w:val="22"/>
          <w:szCs w:val="22"/>
          <w:lang w:val="ro-RO"/>
        </w:rPr>
      </w:pPr>
      <w:bookmarkStart w:id="37" w:name="_Toc26788"/>
      <w:r>
        <w:rPr>
          <w:sz w:val="22"/>
          <w:szCs w:val="22"/>
          <w:lang w:val="ro-RO" w:eastAsia="ro-RO" w:bidi="ro-RO"/>
        </w:rPr>
        <w:t>Recepția produselor</w:t>
      </w:r>
      <w:bookmarkEnd w:id="37"/>
    </w:p>
    <w:p w14:paraId="1A4BD96B">
      <w:pPr>
        <w:pStyle w:val="56"/>
        <w:keepNext/>
        <w:keepLines/>
        <w:widowControl w:val="0"/>
        <w:numPr>
          <w:ilvl w:val="0"/>
          <w:numId w:val="3"/>
        </w:numPr>
        <w:tabs>
          <w:tab w:val="left" w:pos="1176"/>
        </w:tabs>
        <w:spacing w:before="120" w:after="120"/>
        <w:jc w:val="both"/>
        <w:outlineLvl w:val="1"/>
        <w:rPr>
          <w:b/>
          <w:bCs/>
          <w:vanish/>
          <w:sz w:val="22"/>
          <w:szCs w:val="22"/>
          <w:lang w:eastAsia="en-GB"/>
        </w:rPr>
      </w:pPr>
      <w:bookmarkStart w:id="38" w:name="_Toc159326131"/>
      <w:bookmarkEnd w:id="38"/>
    </w:p>
    <w:p w14:paraId="6AE0A7D3">
      <w:pPr>
        <w:pStyle w:val="56"/>
        <w:keepNext/>
        <w:keepLines/>
        <w:widowControl w:val="0"/>
        <w:numPr>
          <w:ilvl w:val="0"/>
          <w:numId w:val="3"/>
        </w:numPr>
        <w:tabs>
          <w:tab w:val="left" w:pos="1176"/>
        </w:tabs>
        <w:spacing w:before="120" w:after="120"/>
        <w:jc w:val="both"/>
        <w:outlineLvl w:val="1"/>
        <w:rPr>
          <w:b/>
          <w:bCs/>
          <w:vanish/>
          <w:sz w:val="22"/>
          <w:szCs w:val="22"/>
          <w:lang w:eastAsia="en-GB"/>
        </w:rPr>
      </w:pPr>
      <w:bookmarkStart w:id="39" w:name="_Toc159326132"/>
      <w:bookmarkEnd w:id="39"/>
    </w:p>
    <w:p w14:paraId="47932E35">
      <w:pPr>
        <w:pStyle w:val="4"/>
        <w:numPr>
          <w:ilvl w:val="1"/>
          <w:numId w:val="3"/>
        </w:numPr>
        <w:spacing w:before="120" w:after="120" w:line="240" w:lineRule="auto"/>
        <w:contextualSpacing w:val="0"/>
        <w:rPr>
          <w:sz w:val="22"/>
          <w:szCs w:val="22"/>
          <w:lang w:val="ro-RO"/>
        </w:rPr>
      </w:pPr>
      <w:bookmarkStart w:id="40" w:name="_Toc20585"/>
      <w:r>
        <w:rPr>
          <w:sz w:val="22"/>
          <w:szCs w:val="22"/>
          <w:lang w:val="ro-RO"/>
        </w:rPr>
        <w:t>Recepția produselor</w:t>
      </w:r>
      <w:bookmarkEnd w:id="40"/>
    </w:p>
    <w:p w14:paraId="74607819">
      <w:pPr>
        <w:pStyle w:val="71"/>
        <w:spacing w:before="120" w:after="120"/>
        <w:jc w:val="both"/>
        <w:rPr>
          <w:rFonts w:ascii="Times New Roman" w:hAnsi="Times New Roman" w:cs="Times New Roman"/>
          <w:iCs/>
          <w:spacing w:val="-6"/>
          <w:sz w:val="22"/>
          <w:szCs w:val="22"/>
        </w:rPr>
      </w:pPr>
      <w:r>
        <w:rPr>
          <w:rFonts w:ascii="Times New Roman" w:hAnsi="Times New Roman" w:cs="Times New Roman"/>
          <w:iCs/>
          <w:spacing w:val="-6"/>
          <w:sz w:val="22"/>
          <w:szCs w:val="22"/>
        </w:rPr>
        <w:t>Toate produsele incluse în prezentul contract vor fi furnizate împreună cu documentația adecvată, în limba română.</w:t>
      </w:r>
    </w:p>
    <w:p w14:paraId="33EC56E9">
      <w:pPr>
        <w:pStyle w:val="71"/>
        <w:spacing w:before="120" w:after="120"/>
        <w:jc w:val="both"/>
        <w:rPr>
          <w:rFonts w:ascii="Times New Roman" w:hAnsi="Times New Roman" w:cs="Times New Roman"/>
          <w:iCs/>
          <w:spacing w:val="-6"/>
          <w:sz w:val="22"/>
          <w:szCs w:val="22"/>
        </w:rPr>
      </w:pPr>
      <w:r>
        <w:rPr>
          <w:rFonts w:ascii="Times New Roman" w:hAnsi="Times New Roman" w:cs="Times New Roman"/>
          <w:iCs/>
          <w:spacing w:val="-6"/>
          <w:sz w:val="22"/>
          <w:szCs w:val="22"/>
        </w:rPr>
        <w:t>Recepția se va efectua la sediile unităților de învățământ, de către comisia de recepție, întocmindu-se procese-verbale pentru  produsele ce fac obiectul contractului.</w:t>
      </w:r>
    </w:p>
    <w:p w14:paraId="0CCEFDFE">
      <w:pPr>
        <w:pStyle w:val="71"/>
        <w:spacing w:before="120" w:after="120"/>
        <w:jc w:val="both"/>
        <w:rPr>
          <w:rFonts w:ascii="Times New Roman" w:hAnsi="Times New Roman" w:cs="Times New Roman"/>
          <w:iCs/>
          <w:spacing w:val="-6"/>
          <w:sz w:val="22"/>
          <w:szCs w:val="22"/>
        </w:rPr>
      </w:pPr>
      <w:r>
        <w:rPr>
          <w:rFonts w:ascii="Times New Roman" w:hAnsi="Times New Roman" w:cs="Times New Roman"/>
          <w:iCs/>
          <w:spacing w:val="-6"/>
          <w:sz w:val="22"/>
          <w:szCs w:val="22"/>
        </w:rPr>
        <w:t>Recepția produselor se va realiza în mai multe etape, în funcție de progresul contractului, respectiv:</w:t>
      </w:r>
    </w:p>
    <w:p w14:paraId="7BF2A87A">
      <w:pPr>
        <w:pStyle w:val="28"/>
        <w:numPr>
          <w:ilvl w:val="0"/>
          <w:numId w:val="15"/>
        </w:numPr>
        <w:shd w:val="clear" w:color="auto" w:fill="auto"/>
        <w:spacing w:before="120" w:after="120" w:line="240" w:lineRule="auto"/>
        <w:ind w:left="567" w:right="20" w:hanging="308"/>
        <w:rPr>
          <w:spacing w:val="-6"/>
          <w:sz w:val="22"/>
          <w:szCs w:val="22"/>
        </w:rPr>
      </w:pPr>
      <w:r>
        <w:rPr>
          <w:spacing w:val="-6"/>
          <w:sz w:val="22"/>
          <w:szCs w:val="22"/>
        </w:rPr>
        <w:t>Recepția cantitativă se va realiza după livrarea produselor în cantitatea solicitată la locația indicată de Autoritatea Contractantă.</w:t>
      </w:r>
    </w:p>
    <w:p w14:paraId="27363ACC">
      <w:pPr>
        <w:pStyle w:val="28"/>
        <w:numPr>
          <w:ilvl w:val="0"/>
          <w:numId w:val="15"/>
        </w:numPr>
        <w:shd w:val="clear" w:color="auto" w:fill="auto"/>
        <w:spacing w:before="120" w:after="120" w:line="240" w:lineRule="auto"/>
        <w:ind w:left="567" w:right="20" w:hanging="308"/>
        <w:rPr>
          <w:spacing w:val="-6"/>
          <w:sz w:val="22"/>
          <w:szCs w:val="22"/>
        </w:rPr>
      </w:pPr>
      <w:r>
        <w:rPr>
          <w:spacing w:val="-6"/>
          <w:sz w:val="22"/>
          <w:szCs w:val="22"/>
        </w:rPr>
        <w:t xml:space="preserve">Recepția calitativă și punerea în funcțiune se va realiza după instalare, testare a produselor și după </w:t>
      </w:r>
      <w:r>
        <w:rPr>
          <w:spacing w:val="-6"/>
          <w:sz w:val="22"/>
          <w:szCs w:val="22"/>
          <w:lang w:eastAsia="es-ES" w:bidi="es-ES"/>
        </w:rPr>
        <w:t xml:space="preserve">caz, remediere </w:t>
      </w:r>
      <w:r>
        <w:rPr>
          <w:spacing w:val="-6"/>
          <w:sz w:val="22"/>
          <w:szCs w:val="22"/>
        </w:rPr>
        <w:t>a defectelor.</w:t>
      </w:r>
    </w:p>
    <w:p w14:paraId="667A5BEE">
      <w:pPr>
        <w:pStyle w:val="71"/>
        <w:spacing w:before="120" w:after="120"/>
        <w:jc w:val="both"/>
        <w:rPr>
          <w:rFonts w:ascii="Times New Roman" w:hAnsi="Times New Roman" w:cs="Times New Roman"/>
          <w:iCs/>
          <w:spacing w:val="-6"/>
          <w:sz w:val="22"/>
          <w:szCs w:val="22"/>
        </w:rPr>
      </w:pPr>
      <w:r>
        <w:rPr>
          <w:rFonts w:ascii="Times New Roman" w:hAnsi="Times New Roman" w:cs="Times New Roman"/>
          <w:iCs/>
          <w:spacing w:val="-6"/>
          <w:sz w:val="22"/>
          <w:szCs w:val="22"/>
        </w:rPr>
        <w:t>În timpul recepției se vor face constatări în ceea ce privește respectarea propunerii tehnice, a propunerii financiare și a graficului de livrare, anexe ale contractului/lor ce urmează a fi încheiat/e.</w:t>
      </w:r>
    </w:p>
    <w:p w14:paraId="7F259FA9">
      <w:pPr>
        <w:pStyle w:val="71"/>
        <w:spacing w:before="120" w:after="120"/>
        <w:jc w:val="both"/>
        <w:rPr>
          <w:rFonts w:ascii="Times New Roman" w:hAnsi="Times New Roman" w:cs="Times New Roman"/>
          <w:iCs/>
          <w:spacing w:val="-6"/>
          <w:sz w:val="22"/>
          <w:szCs w:val="22"/>
        </w:rPr>
      </w:pPr>
      <w:r>
        <w:rPr>
          <w:rFonts w:ascii="Times New Roman" w:hAnsi="Times New Roman" w:cs="Times New Roman"/>
          <w:iCs/>
          <w:spacing w:val="-6"/>
          <w:sz w:val="22"/>
          <w:szCs w:val="22"/>
        </w:rPr>
        <w:t>Autoritatea contractantă nu va recepționa produse defecte, second hand, deteriorate sau care NU corespund nivelului tehnic, calitativ și pecuniar asumate prin ofertă.</w:t>
      </w:r>
    </w:p>
    <w:p w14:paraId="616B0D4E">
      <w:pPr>
        <w:pStyle w:val="28"/>
        <w:shd w:val="clear" w:color="auto" w:fill="auto"/>
        <w:spacing w:before="120" w:after="120" w:line="240" w:lineRule="auto"/>
        <w:ind w:firstLine="0"/>
        <w:rPr>
          <w:spacing w:val="-6"/>
          <w:sz w:val="22"/>
          <w:szCs w:val="22"/>
        </w:rPr>
      </w:pPr>
      <w:r>
        <w:rPr>
          <w:spacing w:val="-6"/>
          <w:sz w:val="22"/>
          <w:szCs w:val="22"/>
        </w:rPr>
        <w:t>Se vor întocmi:</w:t>
      </w:r>
    </w:p>
    <w:p w14:paraId="3EEF611A">
      <w:pPr>
        <w:pStyle w:val="28"/>
        <w:numPr>
          <w:ilvl w:val="0"/>
          <w:numId w:val="16"/>
        </w:numPr>
        <w:shd w:val="clear" w:color="auto" w:fill="auto"/>
        <w:tabs>
          <w:tab w:val="clear" w:pos="420"/>
        </w:tabs>
        <w:spacing w:before="120" w:after="120" w:line="240" w:lineRule="auto"/>
        <w:ind w:left="420" w:leftChars="0" w:hanging="420" w:firstLineChars="0"/>
        <w:rPr>
          <w:spacing w:val="-6"/>
          <w:sz w:val="22"/>
          <w:szCs w:val="22"/>
        </w:rPr>
      </w:pPr>
      <w:r>
        <w:rPr>
          <w:spacing w:val="-6"/>
          <w:sz w:val="22"/>
          <w:szCs w:val="22"/>
        </w:rPr>
        <w:t>procese verbale de predare primire (recepție cantitativă) care vor conține informații referitoare la tipul de produs / produs predat, elemente de identificare, accesorii, cantitate, documente însoțitoare (aviz de expediere, declarație de conformitate/calitate, garanții oferite);</w:t>
      </w:r>
    </w:p>
    <w:p w14:paraId="03DD4F0F">
      <w:pPr>
        <w:pStyle w:val="28"/>
        <w:numPr>
          <w:ilvl w:val="0"/>
          <w:numId w:val="16"/>
        </w:numPr>
        <w:shd w:val="clear" w:color="auto" w:fill="auto"/>
        <w:tabs>
          <w:tab w:val="clear" w:pos="420"/>
        </w:tabs>
        <w:spacing w:before="120" w:after="120" w:line="240" w:lineRule="auto"/>
        <w:ind w:left="420" w:leftChars="0" w:hanging="420" w:firstLineChars="0"/>
        <w:rPr>
          <w:color w:val="auto"/>
          <w:spacing w:val="-6"/>
          <w:sz w:val="22"/>
          <w:szCs w:val="22"/>
        </w:rPr>
      </w:pPr>
      <w:r>
        <w:rPr>
          <w:spacing w:val="-6"/>
          <w:sz w:val="22"/>
          <w:szCs w:val="22"/>
        </w:rPr>
        <w:t>procese verbale de recepție calitativă și punere în funcțiune care vor conține informații referitoare la tip produs, cantitate, funcționalitate;</w:t>
      </w:r>
      <w:r>
        <w:rPr>
          <w:rFonts w:hint="default"/>
          <w:spacing w:val="-6"/>
          <w:sz w:val="22"/>
          <w:szCs w:val="22"/>
          <w:lang w:val="en-US"/>
        </w:rPr>
        <w:t xml:space="preserve"> </w:t>
      </w:r>
    </w:p>
    <w:p w14:paraId="5C2EAB9E">
      <w:pPr>
        <w:pStyle w:val="28"/>
        <w:shd w:val="clear" w:color="auto" w:fill="auto"/>
        <w:spacing w:before="120" w:after="120" w:line="240" w:lineRule="auto"/>
        <w:ind w:firstLine="0"/>
        <w:rPr>
          <w:spacing w:val="-6"/>
          <w:sz w:val="22"/>
          <w:szCs w:val="22"/>
        </w:rPr>
      </w:pPr>
      <w:r>
        <w:rPr>
          <w:spacing w:val="-6"/>
          <w:sz w:val="22"/>
          <w:szCs w:val="22"/>
        </w:rPr>
        <w:t>Procesul verbal de recepție calitativă și punere în funcțiune va include unul din următoarele rezultate:</w:t>
      </w:r>
    </w:p>
    <w:p w14:paraId="057ABCF2">
      <w:pPr>
        <w:pStyle w:val="28"/>
        <w:numPr>
          <w:ilvl w:val="0"/>
          <w:numId w:val="17"/>
        </w:numPr>
        <w:shd w:val="clear" w:color="auto" w:fill="auto"/>
        <w:spacing w:before="120" w:after="120" w:line="240" w:lineRule="auto"/>
        <w:ind w:left="567" w:hanging="450"/>
        <w:rPr>
          <w:spacing w:val="-6"/>
          <w:sz w:val="22"/>
          <w:szCs w:val="22"/>
        </w:rPr>
      </w:pPr>
      <w:r>
        <w:rPr>
          <w:spacing w:val="-6"/>
          <w:sz w:val="22"/>
          <w:szCs w:val="22"/>
        </w:rPr>
        <w:t>Admiterea recepției</w:t>
      </w:r>
    </w:p>
    <w:p w14:paraId="50AF3CA5">
      <w:pPr>
        <w:pStyle w:val="28"/>
        <w:numPr>
          <w:ilvl w:val="0"/>
          <w:numId w:val="17"/>
        </w:numPr>
        <w:shd w:val="clear" w:color="auto" w:fill="auto"/>
        <w:spacing w:before="120" w:after="120" w:line="240" w:lineRule="auto"/>
        <w:ind w:left="567" w:hanging="450"/>
        <w:rPr>
          <w:spacing w:val="-6"/>
          <w:sz w:val="22"/>
          <w:szCs w:val="22"/>
        </w:rPr>
      </w:pPr>
      <w:r>
        <w:rPr>
          <w:spacing w:val="-6"/>
          <w:sz w:val="22"/>
          <w:szCs w:val="22"/>
        </w:rPr>
        <w:t>Admiterea recepției cu observații minore</w:t>
      </w:r>
    </w:p>
    <w:p w14:paraId="6DB670A3">
      <w:pPr>
        <w:pStyle w:val="28"/>
        <w:numPr>
          <w:ilvl w:val="0"/>
          <w:numId w:val="17"/>
        </w:numPr>
        <w:shd w:val="clear" w:color="auto" w:fill="auto"/>
        <w:spacing w:before="120" w:after="120" w:line="240" w:lineRule="auto"/>
        <w:ind w:left="567" w:hanging="450"/>
        <w:rPr>
          <w:spacing w:val="-6"/>
          <w:sz w:val="22"/>
          <w:szCs w:val="22"/>
        </w:rPr>
      </w:pPr>
      <w:r>
        <w:rPr>
          <w:spacing w:val="-6"/>
          <w:sz w:val="22"/>
          <w:szCs w:val="22"/>
        </w:rPr>
        <w:t>Admiterea recepției cu rezerve</w:t>
      </w:r>
    </w:p>
    <w:p w14:paraId="0B0C103C">
      <w:pPr>
        <w:pStyle w:val="28"/>
        <w:numPr>
          <w:ilvl w:val="0"/>
          <w:numId w:val="17"/>
        </w:numPr>
        <w:shd w:val="clear" w:color="auto" w:fill="auto"/>
        <w:spacing w:before="120" w:after="120" w:line="240" w:lineRule="auto"/>
        <w:ind w:left="567" w:hanging="450"/>
        <w:rPr>
          <w:spacing w:val="-6"/>
          <w:sz w:val="22"/>
          <w:szCs w:val="22"/>
        </w:rPr>
      </w:pPr>
      <w:r>
        <w:rPr>
          <w:spacing w:val="-6"/>
          <w:sz w:val="22"/>
          <w:szCs w:val="22"/>
        </w:rPr>
        <w:t>Suspendarea recepției</w:t>
      </w:r>
    </w:p>
    <w:p w14:paraId="68D77A61">
      <w:pPr>
        <w:spacing w:before="120" w:after="120"/>
        <w:ind w:left="709"/>
        <w:jc w:val="both"/>
        <w:rPr>
          <w:i/>
          <w:iCs/>
          <w:sz w:val="22"/>
          <w:szCs w:val="22"/>
          <w:lang w:val="ro-RO"/>
        </w:rPr>
      </w:pPr>
      <w:r>
        <w:rPr>
          <w:i/>
          <w:iCs/>
          <w:sz w:val="22"/>
          <w:szCs w:val="22"/>
          <w:lang w:val="ro-RO"/>
        </w:rPr>
        <w:t>Comisia de recepție recomandă suspendare recepției când:</w:t>
      </w:r>
    </w:p>
    <w:p w14:paraId="2D7EB800">
      <w:pPr>
        <w:pStyle w:val="56"/>
        <w:numPr>
          <w:ilvl w:val="0"/>
          <w:numId w:val="18"/>
        </w:numPr>
        <w:spacing w:before="120" w:after="120"/>
        <w:ind w:left="1417" w:hanging="357"/>
        <w:jc w:val="both"/>
        <w:rPr>
          <w:i/>
          <w:iCs/>
          <w:sz w:val="22"/>
          <w:szCs w:val="22"/>
        </w:rPr>
      </w:pPr>
      <w:r>
        <w:rPr>
          <w:i/>
          <w:iCs/>
          <w:sz w:val="22"/>
          <w:szCs w:val="22"/>
        </w:rPr>
        <w:t>se constată existența unor neconformități, neconcordanțe, defecte ori deficiențe care sunt de natură să afecteze utilizarea produsului/produselor conform destinației sale/lor, dar  care pot fi remediate;</w:t>
      </w:r>
    </w:p>
    <w:p w14:paraId="7165ACE4">
      <w:pPr>
        <w:pStyle w:val="56"/>
        <w:numPr>
          <w:ilvl w:val="0"/>
          <w:numId w:val="18"/>
        </w:numPr>
        <w:spacing w:before="120" w:after="120"/>
        <w:ind w:left="1417" w:hanging="357"/>
        <w:jc w:val="both"/>
        <w:rPr>
          <w:i/>
          <w:iCs/>
          <w:sz w:val="22"/>
          <w:szCs w:val="22"/>
        </w:rPr>
      </w:pPr>
      <w:r>
        <w:rPr>
          <w:i/>
          <w:iCs/>
          <w:sz w:val="22"/>
          <w:szCs w:val="22"/>
        </w:rPr>
        <w:t>se constată existența unor produse realizate necorespunzător sau nefinalizate, care pot afecta cerințele fundamentale aplicabile, dar care pot fi remediate;</w:t>
      </w:r>
    </w:p>
    <w:p w14:paraId="64A69F50">
      <w:pPr>
        <w:pStyle w:val="56"/>
        <w:numPr>
          <w:ilvl w:val="0"/>
          <w:numId w:val="18"/>
        </w:numPr>
        <w:spacing w:before="120" w:after="120"/>
        <w:ind w:left="1417" w:hanging="357"/>
        <w:jc w:val="both"/>
        <w:rPr>
          <w:i/>
          <w:iCs/>
          <w:sz w:val="22"/>
          <w:szCs w:val="22"/>
        </w:rPr>
      </w:pPr>
      <w:r>
        <w:rPr>
          <w:i/>
          <w:iCs/>
          <w:sz w:val="22"/>
          <w:szCs w:val="22"/>
        </w:rPr>
        <w:t xml:space="preserve"> se constată existența, în mod justificat, a unor suspiciuni rezonabile cu privire la calitatea produselor și este necesară realizarea unor expertize tehnice, încercări și teste suplimentare pentru a le clarifica;</w:t>
      </w:r>
    </w:p>
    <w:p w14:paraId="673A9CE6">
      <w:pPr>
        <w:pStyle w:val="56"/>
        <w:numPr>
          <w:ilvl w:val="0"/>
          <w:numId w:val="18"/>
        </w:numPr>
        <w:spacing w:before="120" w:after="120"/>
        <w:ind w:left="1417" w:hanging="357"/>
        <w:jc w:val="both"/>
        <w:rPr>
          <w:i/>
          <w:iCs/>
          <w:sz w:val="22"/>
          <w:szCs w:val="22"/>
        </w:rPr>
      </w:pPr>
      <w:r>
        <w:rPr>
          <w:i/>
          <w:iCs/>
          <w:sz w:val="22"/>
          <w:szCs w:val="22"/>
        </w:rPr>
        <w:t>Contractantul nu pune la dispoziția comisiei de recepție documentele prevăzute în contract și caietul de sarcini (dacă este cazul).</w:t>
      </w:r>
    </w:p>
    <w:p w14:paraId="4EA1FF6B">
      <w:pPr>
        <w:pStyle w:val="28"/>
        <w:shd w:val="clear" w:color="auto" w:fill="auto"/>
        <w:spacing w:before="120" w:after="120" w:line="240" w:lineRule="auto"/>
        <w:ind w:left="709" w:firstLine="0"/>
        <w:rPr>
          <w:i/>
          <w:iCs/>
          <w:spacing w:val="-6"/>
          <w:sz w:val="22"/>
          <w:szCs w:val="22"/>
        </w:rPr>
      </w:pPr>
      <w:r>
        <w:rPr>
          <w:i/>
          <w:iCs/>
          <w:sz w:val="22"/>
          <w:szCs w:val="22"/>
        </w:rPr>
        <w:t>În cazul în care comisia de recepție decide suspendarea procesului de recepție, aceasta încheie un proces-verbal de suspendare a procesului de recepție în care consemnează decizia de suspendare, măsurile recomandate în scopul remedierii aspectelor constatate, precum și termenul de remediere, iar autoritatea contractantă comunică Contractantului decizia comisiei în maximum 3 zile lucrătoare de la luarea la cunoștință a procesului-verbal de suspendare a procesului de recepție, împreună cu un exemplar al acestuia. Termenul de remediere nu poate depăși 30 de zile de la data încheierii procesului-verbal de suspendare a procesului de recepție. În cazul în care Contractantul nu remediază aspectele constatate și nu adoptă măsurile recomandate în cadrul procesului-verbal de suspendare a procesului de recepție în termenul stabilit, comisia de recepție va decide respingerea recepției.</w:t>
      </w:r>
    </w:p>
    <w:p w14:paraId="37D079DF">
      <w:pPr>
        <w:pStyle w:val="28"/>
        <w:numPr>
          <w:ilvl w:val="0"/>
          <w:numId w:val="17"/>
        </w:numPr>
        <w:shd w:val="clear" w:color="auto" w:fill="auto"/>
        <w:spacing w:before="120" w:after="120" w:line="240" w:lineRule="auto"/>
        <w:ind w:left="567" w:hanging="450"/>
        <w:rPr>
          <w:spacing w:val="-6"/>
          <w:sz w:val="22"/>
          <w:szCs w:val="22"/>
        </w:rPr>
      </w:pPr>
      <w:r>
        <w:rPr>
          <w:spacing w:val="-6"/>
          <w:sz w:val="22"/>
          <w:szCs w:val="22"/>
        </w:rPr>
        <w:t>Respingerea recepției (dacă se constată vicii care nu pot fi remediate și care, prin natura lor, împiedică realizarea uneia sau a mai multor exigențe esențiale)</w:t>
      </w:r>
    </w:p>
    <w:p w14:paraId="53E03D39">
      <w:pPr>
        <w:pStyle w:val="28"/>
        <w:shd w:val="clear" w:color="auto" w:fill="auto"/>
        <w:spacing w:before="120" w:after="120" w:line="240" w:lineRule="auto"/>
        <w:ind w:firstLine="0"/>
        <w:rPr>
          <w:spacing w:val="-6"/>
          <w:sz w:val="22"/>
          <w:szCs w:val="22"/>
        </w:rPr>
      </w:pPr>
      <w:r>
        <w:rPr>
          <w:spacing w:val="-6"/>
          <w:sz w:val="22"/>
          <w:szCs w:val="22"/>
        </w:rPr>
        <w:t>Criterii de recepție pentru fiecare situație:</w:t>
      </w:r>
    </w:p>
    <w:p w14:paraId="5C998C0C">
      <w:pPr>
        <w:pStyle w:val="28"/>
        <w:numPr>
          <w:ilvl w:val="0"/>
          <w:numId w:val="17"/>
        </w:numPr>
        <w:shd w:val="clear" w:color="auto" w:fill="auto"/>
        <w:spacing w:before="120" w:after="120" w:line="240" w:lineRule="auto"/>
        <w:ind w:left="567" w:right="20" w:hanging="450"/>
        <w:rPr>
          <w:spacing w:val="-6"/>
          <w:sz w:val="22"/>
          <w:szCs w:val="22"/>
        </w:rPr>
      </w:pPr>
      <w:r>
        <w:rPr>
          <w:spacing w:val="-6"/>
          <w:sz w:val="22"/>
          <w:szCs w:val="22"/>
        </w:rPr>
        <w:t>acceptarea fără observații impune derularea acceptanței fără identificarea vreunei neconformități;</w:t>
      </w:r>
    </w:p>
    <w:p w14:paraId="099E881F">
      <w:pPr>
        <w:pStyle w:val="28"/>
        <w:numPr>
          <w:ilvl w:val="0"/>
          <w:numId w:val="17"/>
        </w:numPr>
        <w:shd w:val="clear" w:color="auto" w:fill="auto"/>
        <w:spacing w:before="120" w:after="120" w:line="240" w:lineRule="auto"/>
        <w:ind w:left="567" w:right="20" w:hanging="450"/>
        <w:rPr>
          <w:spacing w:val="-6"/>
          <w:sz w:val="22"/>
          <w:szCs w:val="22"/>
        </w:rPr>
      </w:pPr>
      <w:r>
        <w:rPr>
          <w:spacing w:val="-6"/>
          <w:sz w:val="22"/>
          <w:szCs w:val="22"/>
        </w:rPr>
        <w:t>acceptarea cu observații minore presupune identificarea numai a unor neconformități minore care pot fi remediate într-un termen de 3 zile lucrătoare;</w:t>
      </w:r>
    </w:p>
    <w:p w14:paraId="21D8C5FC">
      <w:pPr>
        <w:pStyle w:val="28"/>
        <w:numPr>
          <w:ilvl w:val="0"/>
          <w:numId w:val="17"/>
        </w:numPr>
        <w:shd w:val="clear" w:color="auto" w:fill="auto"/>
        <w:spacing w:before="120" w:after="120" w:line="240" w:lineRule="auto"/>
        <w:ind w:left="567" w:right="20" w:hanging="450"/>
        <w:rPr>
          <w:spacing w:val="-6"/>
          <w:sz w:val="22"/>
          <w:szCs w:val="22"/>
        </w:rPr>
      </w:pPr>
      <w:r>
        <w:rPr>
          <w:spacing w:val="-6"/>
          <w:sz w:val="22"/>
          <w:szCs w:val="22"/>
        </w:rPr>
        <w:t>acceptarea cu rezerve ar putea presupune remedierea neconformităților observate în termenul precizat: cel mai scurt posibil, dar nu mai mult de 10 zile lucrătoare de la constatare;</w:t>
      </w:r>
    </w:p>
    <w:p w14:paraId="14301B48">
      <w:pPr>
        <w:pStyle w:val="28"/>
        <w:numPr>
          <w:ilvl w:val="0"/>
          <w:numId w:val="17"/>
        </w:numPr>
        <w:shd w:val="clear" w:color="auto" w:fill="auto"/>
        <w:spacing w:before="120" w:after="120" w:line="240" w:lineRule="auto"/>
        <w:ind w:left="567" w:right="20" w:hanging="450"/>
        <w:rPr>
          <w:spacing w:val="-6"/>
          <w:sz w:val="22"/>
          <w:szCs w:val="22"/>
        </w:rPr>
      </w:pPr>
      <w:r>
        <w:rPr>
          <w:spacing w:val="-6"/>
          <w:sz w:val="22"/>
          <w:szCs w:val="22"/>
        </w:rPr>
        <w:t xml:space="preserve">suspendarea recepției nu poate opera pentru o perioadă mai mare de 30 de zile calendaristice, iar perioada este purtătoare de penalități, </w:t>
      </w:r>
    </w:p>
    <w:p w14:paraId="14935E9E">
      <w:pPr>
        <w:pStyle w:val="28"/>
        <w:numPr>
          <w:ilvl w:val="0"/>
          <w:numId w:val="17"/>
        </w:numPr>
        <w:shd w:val="clear" w:color="auto" w:fill="auto"/>
        <w:spacing w:before="120" w:after="120" w:line="240" w:lineRule="auto"/>
        <w:ind w:left="567" w:right="20" w:hanging="450"/>
        <w:rPr>
          <w:spacing w:val="-6"/>
          <w:sz w:val="22"/>
          <w:szCs w:val="22"/>
        </w:rPr>
      </w:pPr>
      <w:r>
        <w:rPr>
          <w:spacing w:val="-6"/>
          <w:sz w:val="22"/>
          <w:szCs w:val="22"/>
        </w:rPr>
        <w:t>refuzarea are ca efect neacceptarea produselor, întrucât acestea nu îndeplinesc cerințele Autorității Contractante.</w:t>
      </w:r>
    </w:p>
    <w:p w14:paraId="74A1957B">
      <w:pPr>
        <w:pStyle w:val="28"/>
        <w:shd w:val="clear" w:color="auto" w:fill="auto"/>
        <w:spacing w:before="120" w:after="120" w:line="240" w:lineRule="auto"/>
        <w:ind w:left="20" w:right="20" w:firstLine="0"/>
        <w:rPr>
          <w:spacing w:val="-6"/>
          <w:sz w:val="22"/>
          <w:szCs w:val="22"/>
        </w:rPr>
      </w:pPr>
      <w:r>
        <w:rPr>
          <w:spacing w:val="-6"/>
          <w:sz w:val="22"/>
          <w:szCs w:val="22"/>
        </w:rPr>
        <w:t>Neremedierea defectelor în termenul prevăzut de la constatare și refuzul pot avea ca și consecință rezilierea contractului și penalități pentru Contractant.</w:t>
      </w:r>
    </w:p>
    <w:p w14:paraId="75F097D3">
      <w:pPr>
        <w:pStyle w:val="28"/>
        <w:shd w:val="clear" w:color="auto" w:fill="auto"/>
        <w:spacing w:before="120" w:after="120" w:line="240" w:lineRule="auto"/>
        <w:ind w:left="20" w:right="20" w:firstLine="0"/>
        <w:rPr>
          <w:spacing w:val="-6"/>
          <w:sz w:val="22"/>
          <w:szCs w:val="22"/>
        </w:rPr>
      </w:pPr>
    </w:p>
    <w:p w14:paraId="29FD7B81">
      <w:pPr>
        <w:pStyle w:val="4"/>
        <w:numPr>
          <w:ilvl w:val="1"/>
          <w:numId w:val="3"/>
        </w:numPr>
        <w:spacing w:before="120" w:after="120" w:line="240" w:lineRule="auto"/>
        <w:contextualSpacing w:val="0"/>
        <w:rPr>
          <w:sz w:val="22"/>
          <w:szCs w:val="22"/>
          <w:lang w:val="ro-RO"/>
        </w:rPr>
      </w:pPr>
      <w:bookmarkStart w:id="41" w:name="_Toc16831"/>
      <w:r>
        <w:rPr>
          <w:sz w:val="22"/>
          <w:szCs w:val="22"/>
          <w:lang w:val="ro-RO"/>
        </w:rPr>
        <w:t>Reguli privind modificarea contractului</w:t>
      </w:r>
      <w:bookmarkEnd w:id="41"/>
    </w:p>
    <w:p w14:paraId="7C77D575">
      <w:pPr>
        <w:pStyle w:val="28"/>
        <w:shd w:val="clear" w:color="auto" w:fill="auto"/>
        <w:spacing w:before="120" w:after="120" w:line="240" w:lineRule="auto"/>
        <w:ind w:firstLine="450"/>
        <w:rPr>
          <w:spacing w:val="-6"/>
          <w:sz w:val="22"/>
          <w:szCs w:val="22"/>
          <w:u w:val="single"/>
        </w:rPr>
      </w:pPr>
    </w:p>
    <w:p w14:paraId="1C44E24A">
      <w:pPr>
        <w:pStyle w:val="71"/>
        <w:spacing w:before="120" w:after="120"/>
        <w:jc w:val="both"/>
        <w:rPr>
          <w:rFonts w:ascii="Times New Roman" w:hAnsi="Times New Roman" w:cs="Times New Roman"/>
          <w:iCs/>
          <w:spacing w:val="-6"/>
          <w:sz w:val="22"/>
          <w:szCs w:val="22"/>
        </w:rPr>
      </w:pPr>
      <w:r>
        <w:rPr>
          <w:rFonts w:ascii="Times New Roman" w:hAnsi="Times New Roman" w:cs="Times New Roman"/>
          <w:iCs/>
          <w:spacing w:val="-6"/>
          <w:sz w:val="22"/>
          <w:szCs w:val="22"/>
        </w:rPr>
        <w:t>Modificarea contractului se poate realiza prin acte adiționale, cu respectarea art. 221 din Legea 98/2016 privind achizițiile publice cu modificările și completările ulterioare.</w:t>
      </w:r>
    </w:p>
    <w:p w14:paraId="19AA033B">
      <w:pPr>
        <w:pStyle w:val="71"/>
        <w:spacing w:before="120" w:after="120"/>
        <w:jc w:val="both"/>
        <w:rPr>
          <w:rFonts w:ascii="Times New Roman" w:hAnsi="Times New Roman" w:cs="Times New Roman"/>
          <w:iCs/>
          <w:spacing w:val="-6"/>
          <w:sz w:val="22"/>
          <w:szCs w:val="22"/>
        </w:rPr>
      </w:pPr>
      <w:r>
        <w:rPr>
          <w:rFonts w:ascii="Times New Roman" w:hAnsi="Times New Roman" w:cs="Times New Roman"/>
          <w:iCs/>
          <w:spacing w:val="-6"/>
          <w:sz w:val="22"/>
          <w:szCs w:val="22"/>
        </w:rPr>
        <w:t>Orice modificare care prelungește durata de executare a contractului trebuie făcută astfel încât să aibă suport sustenabil. Orice modificare a contractului nu trebuie sa conducă la diminuarea avantajelor menționate în raportul de atribuire. Scopul actului adițional trebuie să fie strâns legat de obiectul contractului inițial.</w:t>
      </w:r>
    </w:p>
    <w:p w14:paraId="2A4AB9D0">
      <w:pPr>
        <w:pStyle w:val="28"/>
        <w:shd w:val="clear" w:color="auto" w:fill="auto"/>
        <w:spacing w:before="120" w:after="120" w:line="240" w:lineRule="auto"/>
        <w:ind w:left="450" w:firstLine="0"/>
        <w:rPr>
          <w:spacing w:val="-6"/>
          <w:sz w:val="22"/>
          <w:szCs w:val="22"/>
        </w:rPr>
      </w:pPr>
    </w:p>
    <w:p w14:paraId="0FC73011">
      <w:pPr>
        <w:pStyle w:val="2"/>
        <w:spacing w:line="240" w:lineRule="auto"/>
        <w:rPr>
          <w:sz w:val="22"/>
          <w:szCs w:val="22"/>
          <w:lang w:val="ro-RO"/>
        </w:rPr>
      </w:pPr>
      <w:bookmarkStart w:id="42" w:name="_Toc21053"/>
      <w:r>
        <w:rPr>
          <w:sz w:val="22"/>
          <w:szCs w:val="22"/>
          <w:lang w:val="ro-RO" w:eastAsia="ro-RO" w:bidi="ro-RO"/>
        </w:rPr>
        <w:t>Modalități și condiții de plată</w:t>
      </w:r>
      <w:bookmarkEnd w:id="42"/>
    </w:p>
    <w:p w14:paraId="678BA4EF">
      <w:pPr>
        <w:spacing w:before="120" w:after="120"/>
        <w:jc w:val="both"/>
        <w:rPr>
          <w:rFonts w:eastAsiaTheme="minorHAnsi"/>
          <w:spacing w:val="-6"/>
          <w:sz w:val="22"/>
          <w:szCs w:val="22"/>
          <w:lang w:val="ro-RO"/>
        </w:rPr>
      </w:pPr>
      <w:r>
        <w:rPr>
          <w:spacing w:val="-6"/>
          <w:sz w:val="22"/>
          <w:szCs w:val="22"/>
          <w:lang w:val="ro-RO"/>
        </w:rPr>
        <w:t xml:space="preserve">Prețul contractului de achiziție publica va fi exprimat în lei, este ferm, nu se actualizează și nu se revizuiește. </w:t>
      </w:r>
      <w:r>
        <w:rPr>
          <w:rFonts w:eastAsiaTheme="minorHAnsi"/>
          <w:spacing w:val="-6"/>
          <w:sz w:val="22"/>
          <w:szCs w:val="22"/>
          <w:lang w:val="ro-RO"/>
        </w:rPr>
        <w:t>Plata se va face în lei, pe baza de facturi, cu ordin de plată, numai în cont deschis de Contractor la unitățile Trezoreriei Statului, în termen de 60 de zile de la primirea facturii, însoțita de următoarele documente:</w:t>
      </w:r>
    </w:p>
    <w:p w14:paraId="73435DD5">
      <w:pPr>
        <w:pStyle w:val="56"/>
        <w:widowControl w:val="0"/>
        <w:numPr>
          <w:ilvl w:val="1"/>
          <w:numId w:val="19"/>
        </w:numPr>
        <w:spacing w:before="120" w:after="120"/>
        <w:ind w:left="1134" w:hanging="283"/>
        <w:rPr>
          <w:spacing w:val="-6"/>
          <w:sz w:val="22"/>
          <w:szCs w:val="22"/>
        </w:rPr>
      </w:pPr>
      <w:r>
        <w:rPr>
          <w:spacing w:val="-6"/>
          <w:sz w:val="22"/>
          <w:szCs w:val="22"/>
        </w:rPr>
        <w:t xml:space="preserve">Factura fiscală, </w:t>
      </w:r>
    </w:p>
    <w:p w14:paraId="7A739BA0">
      <w:pPr>
        <w:pStyle w:val="56"/>
        <w:widowControl w:val="0"/>
        <w:numPr>
          <w:ilvl w:val="1"/>
          <w:numId w:val="19"/>
        </w:numPr>
        <w:spacing w:before="120" w:after="120"/>
        <w:ind w:left="1134" w:hanging="283"/>
        <w:rPr>
          <w:spacing w:val="-6"/>
          <w:sz w:val="22"/>
          <w:szCs w:val="22"/>
        </w:rPr>
      </w:pPr>
      <w:r>
        <w:rPr>
          <w:spacing w:val="-6"/>
          <w:sz w:val="22"/>
          <w:szCs w:val="22"/>
        </w:rPr>
        <w:t>Avizul de expediție/însoțire a mărfii (original);</w:t>
      </w:r>
    </w:p>
    <w:p w14:paraId="40265504">
      <w:pPr>
        <w:pStyle w:val="56"/>
        <w:widowControl w:val="0"/>
        <w:numPr>
          <w:ilvl w:val="1"/>
          <w:numId w:val="19"/>
        </w:numPr>
        <w:spacing w:before="120" w:after="120"/>
        <w:ind w:left="1134" w:hanging="283"/>
        <w:jc w:val="both"/>
        <w:rPr>
          <w:spacing w:val="-6"/>
          <w:sz w:val="22"/>
          <w:szCs w:val="22"/>
        </w:rPr>
      </w:pPr>
      <w:r>
        <w:rPr>
          <w:spacing w:val="-6"/>
          <w:sz w:val="22"/>
          <w:szCs w:val="22"/>
        </w:rPr>
        <w:t>Declarația de conformitate/Certificat de calitate care atestă conformitatea/calitatea produsului cu legislația aplicabilă;</w:t>
      </w:r>
    </w:p>
    <w:p w14:paraId="19985917">
      <w:pPr>
        <w:pStyle w:val="56"/>
        <w:widowControl w:val="0"/>
        <w:numPr>
          <w:ilvl w:val="1"/>
          <w:numId w:val="19"/>
        </w:numPr>
        <w:spacing w:before="120" w:after="120"/>
        <w:ind w:left="1134" w:hanging="283"/>
        <w:rPr>
          <w:spacing w:val="-6"/>
          <w:sz w:val="22"/>
          <w:szCs w:val="22"/>
        </w:rPr>
      </w:pPr>
      <w:r>
        <w:rPr>
          <w:spacing w:val="-6"/>
          <w:sz w:val="22"/>
          <w:szCs w:val="22"/>
        </w:rPr>
        <w:t>Garanția produselor emisă de furnizor/ producător, acolo unde este cazul;</w:t>
      </w:r>
    </w:p>
    <w:p w14:paraId="049E8AA5">
      <w:pPr>
        <w:pStyle w:val="56"/>
        <w:widowControl w:val="0"/>
        <w:numPr>
          <w:ilvl w:val="1"/>
          <w:numId w:val="19"/>
        </w:numPr>
        <w:spacing w:before="120" w:after="120"/>
        <w:ind w:left="1134" w:hanging="283"/>
        <w:rPr>
          <w:spacing w:val="-6"/>
          <w:sz w:val="22"/>
          <w:szCs w:val="22"/>
        </w:rPr>
      </w:pPr>
      <w:r>
        <w:rPr>
          <w:spacing w:val="-6"/>
          <w:sz w:val="22"/>
          <w:szCs w:val="22"/>
        </w:rPr>
        <w:t>Instrucțiuni de folosire / operare / mentenanță a produselor;</w:t>
      </w:r>
    </w:p>
    <w:p w14:paraId="28E6860B">
      <w:pPr>
        <w:pStyle w:val="56"/>
        <w:widowControl w:val="0"/>
        <w:numPr>
          <w:ilvl w:val="1"/>
          <w:numId w:val="19"/>
        </w:numPr>
        <w:spacing w:before="120" w:after="120"/>
        <w:ind w:left="1134" w:hanging="283"/>
        <w:rPr>
          <w:spacing w:val="-6"/>
          <w:sz w:val="22"/>
          <w:szCs w:val="22"/>
        </w:rPr>
      </w:pPr>
      <w:r>
        <w:rPr>
          <w:spacing w:val="-6"/>
          <w:sz w:val="22"/>
          <w:szCs w:val="22"/>
        </w:rPr>
        <w:t>Declarația vamală de import, pentru bunurile care sunt importate din alte țări decât cele membre ale Uniunii Europene (copie);</w:t>
      </w:r>
    </w:p>
    <w:p w14:paraId="2EB1248C">
      <w:pPr>
        <w:pStyle w:val="56"/>
        <w:widowControl w:val="0"/>
        <w:numPr>
          <w:ilvl w:val="1"/>
          <w:numId w:val="19"/>
        </w:numPr>
        <w:spacing w:before="120" w:after="120"/>
        <w:ind w:left="1134" w:hanging="283"/>
        <w:rPr>
          <w:spacing w:val="-6"/>
          <w:sz w:val="22"/>
          <w:szCs w:val="22"/>
        </w:rPr>
      </w:pPr>
      <w:r>
        <w:rPr>
          <w:spacing w:val="-6"/>
          <w:sz w:val="22"/>
          <w:szCs w:val="22"/>
        </w:rPr>
        <w:t>Procesul-verbal de predare-primire(recepție cantitativă);</w:t>
      </w:r>
    </w:p>
    <w:p w14:paraId="5CD3CC73">
      <w:pPr>
        <w:pStyle w:val="56"/>
        <w:widowControl w:val="0"/>
        <w:numPr>
          <w:ilvl w:val="1"/>
          <w:numId w:val="19"/>
        </w:numPr>
        <w:spacing w:before="120" w:after="120"/>
        <w:ind w:left="1134" w:hanging="283"/>
        <w:rPr>
          <w:spacing w:val="-6"/>
          <w:sz w:val="22"/>
          <w:szCs w:val="22"/>
        </w:rPr>
      </w:pPr>
      <w:r>
        <w:rPr>
          <w:spacing w:val="-6"/>
          <w:sz w:val="22"/>
          <w:szCs w:val="22"/>
        </w:rPr>
        <w:t>Procesul-verbal de recepție calitativă și punere în funcțiune;</w:t>
      </w:r>
    </w:p>
    <w:p w14:paraId="5D38303C">
      <w:pPr>
        <w:pStyle w:val="56"/>
        <w:widowControl w:val="0"/>
        <w:numPr>
          <w:ilvl w:val="1"/>
          <w:numId w:val="19"/>
        </w:numPr>
        <w:spacing w:before="120" w:after="120"/>
        <w:ind w:left="1134" w:hanging="283"/>
        <w:rPr>
          <w:spacing w:val="-6"/>
          <w:sz w:val="22"/>
          <w:szCs w:val="22"/>
        </w:rPr>
      </w:pPr>
      <w:r>
        <w:rPr>
          <w:rFonts w:hint="default"/>
          <w:spacing w:val="-6"/>
          <w:sz w:val="22"/>
          <w:szCs w:val="22"/>
          <w:lang w:val="en-US"/>
        </w:rPr>
        <w:t>Procesul verbal de instruire</w:t>
      </w:r>
    </w:p>
    <w:p w14:paraId="084382A8">
      <w:pPr>
        <w:pStyle w:val="30"/>
        <w:shd w:val="clear" w:color="auto" w:fill="auto"/>
        <w:spacing w:before="120" w:after="120" w:line="240" w:lineRule="auto"/>
        <w:ind w:left="20" w:leftChars="0" w:right="20" w:firstLine="720" w:firstLineChars="0"/>
        <w:rPr>
          <w:b w:val="0"/>
          <w:bCs w:val="0"/>
          <w:spacing w:val="-6"/>
          <w:sz w:val="22"/>
          <w:szCs w:val="22"/>
          <w:lang w:val="ro-RO"/>
        </w:rPr>
      </w:pPr>
      <w:r>
        <w:rPr>
          <w:b w:val="0"/>
          <w:bCs w:val="0"/>
          <w:spacing w:val="-6"/>
          <w:sz w:val="22"/>
          <w:szCs w:val="22"/>
          <w:lang w:val="ro-RO"/>
        </w:rPr>
        <w:t xml:space="preserve">Plățile care urmează a fi realizate în cadrul contractului se vor face numai după emiterea facturii ca urmare a aprobării de către Autoritatea Contractantă a produselor aferente activităților efectuate de Contractor, în condițiile Caietului de sarcini. Fiecare factură va avea menționat </w:t>
      </w:r>
      <w:r>
        <w:rPr>
          <w:b w:val="0"/>
          <w:bCs w:val="0"/>
          <w:iCs/>
          <w:spacing w:val="-6"/>
          <w:sz w:val="22"/>
          <w:szCs w:val="22"/>
          <w:lang w:val="ro-RO"/>
        </w:rPr>
        <w:t>numărul contractului, datele de emitere și de scadența ale facturii respective</w:t>
      </w:r>
      <w:r>
        <w:rPr>
          <w:b w:val="0"/>
          <w:bCs w:val="0"/>
          <w:i/>
          <w:spacing w:val="-6"/>
          <w:sz w:val="22"/>
          <w:szCs w:val="22"/>
          <w:lang w:val="ro-RO"/>
        </w:rPr>
        <w:t>.</w:t>
      </w:r>
      <w:r>
        <w:rPr>
          <w:b w:val="0"/>
          <w:bCs w:val="0"/>
          <w:spacing w:val="-6"/>
          <w:sz w:val="22"/>
          <w:szCs w:val="22"/>
          <w:lang w:val="ro-RO"/>
        </w:rPr>
        <w:t xml:space="preserve"> Facturile vor fi trimise </w:t>
      </w:r>
      <w:r>
        <w:rPr>
          <w:b w:val="0"/>
          <w:bCs w:val="0"/>
          <w:iCs/>
          <w:spacing w:val="-6"/>
          <w:sz w:val="22"/>
          <w:szCs w:val="22"/>
          <w:lang w:val="ro-RO"/>
        </w:rPr>
        <w:t>prin aplicația E-factura, conform prevederilor legale în vigoare la data emiterii lor</w:t>
      </w:r>
      <w:r>
        <w:rPr>
          <w:b w:val="0"/>
          <w:bCs w:val="0"/>
          <w:spacing w:val="-6"/>
          <w:sz w:val="22"/>
          <w:szCs w:val="22"/>
          <w:lang w:val="ro-RO"/>
        </w:rPr>
        <w:t>.</w:t>
      </w:r>
    </w:p>
    <w:p w14:paraId="20F823BA">
      <w:pPr>
        <w:jc w:val="both"/>
        <w:rPr>
          <w:sz w:val="22"/>
          <w:szCs w:val="22"/>
          <w:lang w:val="ro-RO"/>
        </w:rPr>
      </w:pPr>
      <w:r>
        <w:rPr>
          <w:sz w:val="22"/>
          <w:szCs w:val="22"/>
          <w:lang w:val="ro-RO"/>
        </w:rPr>
        <w:t>Pentru produsele furnizate, plata datorată de achizitor furnizorului este prețul declarat în propunerea financiară anexată la contract</w:t>
      </w:r>
    </w:p>
    <w:p w14:paraId="6A7F4EFD">
      <w:pPr>
        <w:jc w:val="both"/>
        <w:rPr>
          <w:sz w:val="22"/>
          <w:szCs w:val="22"/>
          <w:lang w:val="ro-RO"/>
        </w:rPr>
      </w:pPr>
      <w:r>
        <w:rPr>
          <w:sz w:val="22"/>
          <w:szCs w:val="22"/>
          <w:lang w:val="ro-RO"/>
        </w:rPr>
        <w:tab/>
      </w:r>
      <w:r>
        <w:rPr>
          <w:sz w:val="22"/>
          <w:szCs w:val="22"/>
          <w:lang w:val="ro-RO"/>
        </w:rPr>
        <w:t>Plățile se vor face în lei, în contul de trezorerie notificat de Furnizor Achizitorului</w:t>
      </w:r>
    </w:p>
    <w:p w14:paraId="3106377F">
      <w:pPr>
        <w:jc w:val="both"/>
        <w:rPr>
          <w:b/>
          <w:bCs/>
          <w:i/>
          <w:iCs/>
          <w:sz w:val="22"/>
          <w:szCs w:val="22"/>
          <w:lang w:val="ro-RO"/>
        </w:rPr>
      </w:pPr>
      <w:r>
        <w:rPr>
          <w:sz w:val="22"/>
          <w:szCs w:val="22"/>
          <w:lang w:val="ro-RO"/>
        </w:rPr>
        <w:tab/>
      </w:r>
      <w:r>
        <w:rPr>
          <w:sz w:val="22"/>
          <w:szCs w:val="22"/>
          <w:lang w:val="ro-RO"/>
        </w:rPr>
        <w:t xml:space="preserve">Facturile vor fi inscripționate cu următoarele informații: Proiect:  </w:t>
      </w:r>
      <w:r>
        <w:rPr>
          <w:b/>
          <w:bCs/>
          <w:i/>
          <w:iCs/>
          <w:sz w:val="22"/>
          <w:szCs w:val="22"/>
          <w:lang w:val="ro-RO"/>
        </w:rPr>
        <w:t xml:space="preserve">„Dotarea unităților de învățământ preuniversitar și a unităților conexe din Municipiul Slobozia” cod proiect F-PNRR-Dotări-2023-6216 </w:t>
      </w:r>
    </w:p>
    <w:p w14:paraId="568BD914">
      <w:pPr>
        <w:ind w:firstLine="720"/>
        <w:jc w:val="both"/>
        <w:rPr>
          <w:sz w:val="22"/>
          <w:szCs w:val="22"/>
          <w:lang w:val="ro-RO"/>
        </w:rPr>
      </w:pPr>
      <w:r>
        <w:rPr>
          <w:sz w:val="22"/>
          <w:szCs w:val="22"/>
          <w:lang w:val="ro-RO"/>
        </w:rPr>
        <w:t>Achizitorul are dreptul de a efectua plata către furnizor în termen de 60 zile de la primirea facturii. Facturile vor fi emise după verificarea prealabilă și recepționarea bunurilor, fără obiecțiuni, de către achizitor, întocmite conform angajamentului asumat. Acest termen se poate prelungi doar în cazul plăților prin utilizarea mecanismului cererilor de transfer, conform prevederilor contractuale.</w:t>
      </w:r>
    </w:p>
    <w:p w14:paraId="4E13BB37">
      <w:pPr>
        <w:ind w:firstLine="720"/>
        <w:jc w:val="both"/>
        <w:rPr>
          <w:sz w:val="22"/>
          <w:szCs w:val="22"/>
          <w:lang w:val="ro-RO"/>
        </w:rPr>
      </w:pPr>
      <w:r>
        <w:rPr>
          <w:sz w:val="22"/>
          <w:szCs w:val="22"/>
          <w:lang w:val="ro-RO"/>
        </w:rPr>
        <w:t xml:space="preserve">Achizitorul are dreptul de a folosi mecanismul cererilor de transfer pentru plățile care urmează a fi efectuate, în condițiile și pe baza documentației justificative stabilite prin </w:t>
      </w:r>
      <w:r>
        <w:rPr>
          <w:b/>
          <w:bCs/>
          <w:i/>
          <w:iCs/>
          <w:sz w:val="22"/>
          <w:szCs w:val="22"/>
          <w:lang w:val="ro-RO"/>
        </w:rPr>
        <w:t>Contractul de finanțare nr. 146DOT/2023, art. 7 - Transferul sumelor</w:t>
      </w:r>
      <w:r>
        <w:rPr>
          <w:sz w:val="22"/>
          <w:szCs w:val="22"/>
          <w:lang w:val="ro-RO"/>
        </w:rPr>
        <w:t>. În acest caz, termenul de 60 zile convenit se prelungește în mod corespunzător, cu perioada cuprinsă între data depunerii cererii de transfer la UEFISCDI și data virării sumelor aferente acesteia de către UEFISCDI în conturile achizitorului.</w:t>
      </w:r>
    </w:p>
    <w:p w14:paraId="66021CD9">
      <w:pPr>
        <w:ind w:firstLine="720"/>
        <w:jc w:val="both"/>
        <w:rPr>
          <w:sz w:val="22"/>
          <w:szCs w:val="22"/>
          <w:lang w:val="ro-RO"/>
        </w:rPr>
      </w:pPr>
      <w:r>
        <w:rPr>
          <w:sz w:val="22"/>
          <w:szCs w:val="22"/>
          <w:lang w:val="ro-RO"/>
        </w:rPr>
        <w:t>Contractantul este răspunzător de corectitudinea și exactitatea datelor înscrise în facturi și se obligă să restituie atât sumele în plus cât și foloasele realizate necuvenit, aferent acestora. Sumele încasate în plus cât și foloasele necuvenite aferente acestora (pe perioada de la încasare până la constatarea lor), vor fi stabilite în urma verificărilor executate de către Organele de Control Intern ale contractantului sau alte Organisme de control abilitate de lege</w:t>
      </w:r>
    </w:p>
    <w:p w14:paraId="7A1991F0">
      <w:pPr>
        <w:pStyle w:val="30"/>
        <w:shd w:val="clear" w:color="auto" w:fill="auto"/>
        <w:spacing w:before="120" w:after="120" w:line="240" w:lineRule="auto"/>
        <w:ind w:left="20" w:right="20"/>
        <w:rPr>
          <w:b w:val="0"/>
          <w:bCs w:val="0"/>
          <w:spacing w:val="-6"/>
          <w:sz w:val="22"/>
          <w:szCs w:val="22"/>
          <w:lang w:val="ro-RO"/>
        </w:rPr>
      </w:pPr>
      <w:r>
        <w:rPr>
          <w:spacing w:val="-6"/>
          <w:sz w:val="22"/>
          <w:szCs w:val="22"/>
          <w:lang w:val="ro-RO"/>
        </w:rPr>
        <w:t>Solicitările de plată către terți pot fi onorate numai după operarea unei cesiuni de drepturi/obligații ale Contractorului către terți, cu respectarea clauzelor contractuale.</w:t>
      </w:r>
    </w:p>
    <w:p w14:paraId="42008D9D">
      <w:pPr>
        <w:pStyle w:val="2"/>
        <w:spacing w:before="120" w:after="120" w:line="240" w:lineRule="auto"/>
        <w:ind w:hanging="357"/>
        <w:contextualSpacing w:val="0"/>
        <w:rPr>
          <w:sz w:val="22"/>
          <w:szCs w:val="22"/>
          <w:lang w:val="ro-RO"/>
        </w:rPr>
      </w:pPr>
      <w:bookmarkStart w:id="43" w:name="_Toc6127"/>
      <w:r>
        <w:rPr>
          <w:sz w:val="22"/>
          <w:szCs w:val="22"/>
          <w:lang w:val="ro-RO" w:eastAsia="ro-RO" w:bidi="ro-RO"/>
        </w:rPr>
        <w:t>Cadrul legal care guvernează relația dintre autoritatea contractantă și contractant (inclusiv în domeniile mediului, social și al relațiilor de muncă)</w:t>
      </w:r>
      <w:bookmarkEnd w:id="43"/>
    </w:p>
    <w:p w14:paraId="2A458964">
      <w:pPr>
        <w:pStyle w:val="56"/>
        <w:numPr>
          <w:ilvl w:val="0"/>
          <w:numId w:val="20"/>
        </w:numPr>
        <w:spacing w:before="120" w:after="120"/>
        <w:jc w:val="both"/>
        <w:rPr>
          <w:spacing w:val="-6"/>
          <w:sz w:val="22"/>
          <w:szCs w:val="22"/>
        </w:rPr>
      </w:pPr>
      <w:r>
        <w:rPr>
          <w:spacing w:val="-6"/>
          <w:sz w:val="22"/>
          <w:szCs w:val="22"/>
        </w:rPr>
        <w:t>Regulamentul (UE) nr. 241/2021 al Parlamentului European si al Consiliului din 12 februarie 2021 de instituire a Mecanismului de Redresare și Reziliență;</w:t>
      </w:r>
    </w:p>
    <w:p w14:paraId="48B49480">
      <w:pPr>
        <w:pStyle w:val="56"/>
        <w:numPr>
          <w:ilvl w:val="0"/>
          <w:numId w:val="20"/>
        </w:numPr>
        <w:spacing w:before="120" w:after="120"/>
        <w:jc w:val="both"/>
        <w:rPr>
          <w:spacing w:val="-6"/>
          <w:sz w:val="22"/>
          <w:szCs w:val="22"/>
        </w:rPr>
      </w:pPr>
      <w:r>
        <w:rPr>
          <w:spacing w:val="-6"/>
          <w:sz w:val="22"/>
          <w:szCs w:val="22"/>
        </w:rPr>
        <w:t>Regulamentul Delegat (UE) 2021/2106 al Comisiei din 28 septembrie 2021 de completare a Regulamentului (UE) 2021/241 al Parlamentului European și al Consiliului de instituire a Mecanismului de redresare și reziliență prin stabilirea indicatorilor comuni și a elementelor detaliate ale tabloului de bord privind redresarea și reziliența;</w:t>
      </w:r>
    </w:p>
    <w:p w14:paraId="52B1BDCD">
      <w:pPr>
        <w:pStyle w:val="56"/>
        <w:numPr>
          <w:ilvl w:val="0"/>
          <w:numId w:val="20"/>
        </w:numPr>
        <w:spacing w:before="120" w:after="120"/>
        <w:jc w:val="both"/>
        <w:rPr>
          <w:spacing w:val="-6"/>
          <w:sz w:val="22"/>
          <w:szCs w:val="22"/>
        </w:rPr>
      </w:pPr>
      <w:r>
        <w:rPr>
          <w:spacing w:val="-6"/>
          <w:sz w:val="22"/>
          <w:szCs w:val="22"/>
        </w:rPr>
        <w:t>Decizia de punere în aplicare a Consiliului de aprobare a evaluării planului de redresare și reziliență al României din 29 octombrie 2021;</w:t>
      </w:r>
    </w:p>
    <w:p w14:paraId="07CB505F">
      <w:pPr>
        <w:pStyle w:val="56"/>
        <w:numPr>
          <w:ilvl w:val="0"/>
          <w:numId w:val="20"/>
        </w:numPr>
        <w:spacing w:before="120" w:after="120"/>
        <w:jc w:val="both"/>
        <w:rPr>
          <w:spacing w:val="-6"/>
          <w:sz w:val="22"/>
          <w:szCs w:val="22"/>
        </w:rPr>
      </w:pPr>
      <w:r>
        <w:rPr>
          <w:spacing w:val="-6"/>
          <w:sz w:val="22"/>
          <w:szCs w:val="22"/>
        </w:rPr>
        <w:t>Legea nr. 178/2022 pentru aprobarea OUG nr. 124/2021 privind stabilirea cadrului instituțional și financiar pentru gestionarea fondurilor europene alocate României prin Mecanismului de Redresare și Reziliență precum și pentru modificarea și completarea OUG nr. 155/2020 privind unele masuri pentru elaborarea Planului National de Redresare și Reziliență necesar României pentru accesarea de fonduri externe rambursabile și nerambursabile în cadrul Mecanismului de redresare și reziliență;</w:t>
      </w:r>
    </w:p>
    <w:p w14:paraId="1DD6F965">
      <w:pPr>
        <w:pStyle w:val="56"/>
        <w:numPr>
          <w:ilvl w:val="0"/>
          <w:numId w:val="20"/>
        </w:numPr>
        <w:spacing w:before="120" w:after="120"/>
        <w:jc w:val="both"/>
        <w:rPr>
          <w:spacing w:val="-6"/>
          <w:sz w:val="22"/>
          <w:szCs w:val="22"/>
        </w:rPr>
      </w:pPr>
      <w:r>
        <w:rPr>
          <w:spacing w:val="-6"/>
          <w:sz w:val="22"/>
          <w:szCs w:val="22"/>
        </w:rPr>
        <w:t>Hotărârea nr. 209/2022 pentru aprobarea Normelor metodologice de aplicare a prevederilor Ordonanței de urgență a Guvernului nr. 124/2021, privind stabilirea cadrului instituțional și financiar pentru gestionarea fondurilor europene alocate României prin Mecanismul de redresare și reziliență precum și pentru modificarea și completarea OUG nr. 155/2020, privind unele măsuri pentru elaborarea Planului National de Redresare și Reziliență necesar României pentru accesarea de fonduri externe rambursabile și nerambursabile în cadrul Mecanismului de redresare și reziliență;</w:t>
      </w:r>
    </w:p>
    <w:p w14:paraId="5B2A69F6">
      <w:pPr>
        <w:pStyle w:val="56"/>
        <w:numPr>
          <w:ilvl w:val="0"/>
          <w:numId w:val="20"/>
        </w:numPr>
        <w:spacing w:before="120" w:after="120"/>
        <w:jc w:val="both"/>
        <w:rPr>
          <w:spacing w:val="-6"/>
          <w:sz w:val="22"/>
          <w:szCs w:val="22"/>
        </w:rPr>
      </w:pPr>
      <w:r>
        <w:rPr>
          <w:spacing w:val="-6"/>
          <w:sz w:val="22"/>
          <w:szCs w:val="22"/>
        </w:rPr>
        <w:t>OUG nr. 124/2021 privind stabilirea cadrului instituțional și financiar pentru gestionarea fondurilor europene alocate României prin Mecanismul de redresare și reziliență precum și pentru modificarea și completarea OUG nr. 155/2020, privind unele măsuri pentru elaborarea Planului National de Redresare și Reziliență necesar României pentru accesarea de fonduri externe rambursabile și nerambursabile în cadrul Mecanismului de redresare și reziliență;</w:t>
      </w:r>
    </w:p>
    <w:p w14:paraId="052FED25">
      <w:pPr>
        <w:pStyle w:val="56"/>
        <w:numPr>
          <w:ilvl w:val="0"/>
          <w:numId w:val="20"/>
        </w:numPr>
        <w:spacing w:before="120" w:after="120"/>
        <w:jc w:val="both"/>
        <w:rPr>
          <w:spacing w:val="-6"/>
          <w:sz w:val="22"/>
          <w:szCs w:val="22"/>
        </w:rPr>
      </w:pPr>
      <w:r>
        <w:rPr>
          <w:spacing w:val="-6"/>
          <w:sz w:val="22"/>
          <w:szCs w:val="22"/>
        </w:rPr>
        <w:t>Instrucțiunile MIPE, pentru Contractele de finanțare semnate după data publicării acestora, aplicabile conform legii;</w:t>
      </w:r>
    </w:p>
    <w:p w14:paraId="1AA951B3">
      <w:pPr>
        <w:pStyle w:val="56"/>
        <w:numPr>
          <w:ilvl w:val="0"/>
          <w:numId w:val="20"/>
        </w:numPr>
        <w:spacing w:before="120" w:after="120"/>
        <w:jc w:val="both"/>
        <w:rPr>
          <w:spacing w:val="-6"/>
          <w:sz w:val="22"/>
          <w:szCs w:val="22"/>
        </w:rPr>
      </w:pPr>
      <w:r>
        <w:rPr>
          <w:spacing w:val="-6"/>
          <w:sz w:val="22"/>
          <w:szCs w:val="22"/>
        </w:rPr>
        <w:t>OUG 70/2022 privind prevenirea, verificarea și constatarea neregulilor/dublei finanțări, a neregulilor grave apărute în obținerea și utilizarea fondurilor externe nerambursabile/rambursabile alocate României prin Mecanismul de redresare și reziliență și /sau a fondurilor publice naționale aferente acestora și recuperarea creanțelor rezultate;</w:t>
      </w:r>
    </w:p>
    <w:p w14:paraId="6CB00EC6">
      <w:pPr>
        <w:pStyle w:val="56"/>
        <w:numPr>
          <w:ilvl w:val="0"/>
          <w:numId w:val="20"/>
        </w:numPr>
        <w:spacing w:before="120" w:after="120"/>
        <w:jc w:val="both"/>
        <w:rPr>
          <w:spacing w:val="-6"/>
          <w:sz w:val="22"/>
          <w:szCs w:val="22"/>
        </w:rPr>
      </w:pPr>
      <w:r>
        <w:rPr>
          <w:spacing w:val="-6"/>
          <w:sz w:val="22"/>
          <w:szCs w:val="22"/>
        </w:rPr>
        <w:t>Legislația aplicabil în vigoare la data semnării Contractului de finanțare;</w:t>
      </w:r>
    </w:p>
    <w:p w14:paraId="3933BE76">
      <w:pPr>
        <w:pStyle w:val="56"/>
        <w:numPr>
          <w:ilvl w:val="0"/>
          <w:numId w:val="20"/>
        </w:numPr>
        <w:spacing w:before="120" w:after="120"/>
        <w:jc w:val="both"/>
        <w:rPr>
          <w:spacing w:val="-6"/>
          <w:sz w:val="22"/>
          <w:szCs w:val="22"/>
        </w:rPr>
      </w:pPr>
      <w:r>
        <w:rPr>
          <w:spacing w:val="-6"/>
          <w:sz w:val="22"/>
          <w:szCs w:val="22"/>
        </w:rPr>
        <w:t>Ordin ME nr. 4142/29.06.2022 privind aprobarea Normativului de dotare minimală pentru clasele V-VIII;</w:t>
      </w:r>
    </w:p>
    <w:p w14:paraId="111E8A83">
      <w:pPr>
        <w:pStyle w:val="56"/>
        <w:numPr>
          <w:ilvl w:val="0"/>
          <w:numId w:val="20"/>
        </w:numPr>
        <w:spacing w:before="120" w:after="120"/>
        <w:jc w:val="both"/>
        <w:rPr>
          <w:spacing w:val="-6"/>
          <w:sz w:val="22"/>
          <w:szCs w:val="22"/>
        </w:rPr>
      </w:pPr>
      <w:r>
        <w:rPr>
          <w:spacing w:val="-6"/>
          <w:sz w:val="22"/>
          <w:szCs w:val="22"/>
        </w:rPr>
        <w:t>Ordin ME nr. 4143/29.06.2022 pentru aprobarea Standardelor privind materialele de predare-învățare în educația timpurie și a Normativului de dotare minimală pentru serviciile de educație timpurie a copiilor de la naștere la 6 ani;</w:t>
      </w:r>
    </w:p>
    <w:p w14:paraId="5BB48EAB">
      <w:pPr>
        <w:pStyle w:val="56"/>
        <w:numPr>
          <w:ilvl w:val="0"/>
          <w:numId w:val="20"/>
        </w:numPr>
        <w:spacing w:before="120" w:after="120"/>
        <w:jc w:val="both"/>
        <w:rPr>
          <w:spacing w:val="-6"/>
          <w:sz w:val="22"/>
          <w:szCs w:val="22"/>
        </w:rPr>
      </w:pPr>
      <w:r>
        <w:rPr>
          <w:spacing w:val="-6"/>
          <w:sz w:val="22"/>
          <w:szCs w:val="22"/>
        </w:rPr>
        <w:t>Ordin ME nr. 4144/26.02.2022 privind aprobarea Normativului de dotare minimală pentru învățământul primar;</w:t>
      </w:r>
    </w:p>
    <w:p w14:paraId="38D2101C">
      <w:pPr>
        <w:pStyle w:val="56"/>
        <w:numPr>
          <w:ilvl w:val="0"/>
          <w:numId w:val="20"/>
        </w:numPr>
        <w:spacing w:before="120" w:after="120"/>
        <w:jc w:val="both"/>
        <w:rPr>
          <w:spacing w:val="-6"/>
          <w:sz w:val="22"/>
          <w:szCs w:val="22"/>
        </w:rPr>
      </w:pPr>
      <w:r>
        <w:rPr>
          <w:spacing w:val="-6"/>
          <w:sz w:val="22"/>
          <w:szCs w:val="22"/>
        </w:rPr>
        <w:t>Legea privind achizițiile publice nr. 98/2016, actualizată;</w:t>
      </w:r>
    </w:p>
    <w:p w14:paraId="6DC0E1C7">
      <w:pPr>
        <w:pStyle w:val="56"/>
        <w:numPr>
          <w:ilvl w:val="0"/>
          <w:numId w:val="20"/>
        </w:numPr>
        <w:spacing w:before="120" w:after="120"/>
        <w:jc w:val="both"/>
        <w:rPr>
          <w:spacing w:val="-6"/>
          <w:sz w:val="22"/>
          <w:szCs w:val="22"/>
        </w:rPr>
      </w:pPr>
      <w:r>
        <w:rPr>
          <w:spacing w:val="-6"/>
          <w:sz w:val="22"/>
          <w:szCs w:val="22"/>
        </w:rPr>
        <w:t>OM nr. 4901 pentru modificarea OME nr. 6423/2022 - Ghidul Solicitantului pentru lansarea apelului de proiecte finanțat prin PNRR - Dotarea cu mobilier, materiale didactice și echipamente digitale a unităților de învățământ preuniversitar și a unităților conexe, cu modificările și completările ulterioare;</w:t>
      </w:r>
    </w:p>
    <w:p w14:paraId="1BA286CE">
      <w:pPr>
        <w:pStyle w:val="56"/>
        <w:numPr>
          <w:ilvl w:val="0"/>
          <w:numId w:val="20"/>
        </w:numPr>
        <w:spacing w:before="120" w:after="120"/>
        <w:jc w:val="both"/>
        <w:rPr>
          <w:spacing w:val="-6"/>
          <w:sz w:val="22"/>
          <w:szCs w:val="22"/>
        </w:rPr>
      </w:pPr>
      <w:r>
        <w:rPr>
          <w:spacing w:val="-6"/>
          <w:sz w:val="22"/>
          <w:szCs w:val="22"/>
        </w:rPr>
        <w:t>Legea privind remediile și căile de atac nr. 101/2016, actualizată;</w:t>
      </w:r>
    </w:p>
    <w:p w14:paraId="451A5BE3">
      <w:pPr>
        <w:pStyle w:val="56"/>
        <w:numPr>
          <w:ilvl w:val="0"/>
          <w:numId w:val="20"/>
        </w:numPr>
        <w:spacing w:before="120" w:after="120"/>
        <w:jc w:val="both"/>
        <w:rPr>
          <w:spacing w:val="-6"/>
          <w:sz w:val="22"/>
          <w:szCs w:val="22"/>
        </w:rPr>
      </w:pPr>
      <w:r>
        <w:rPr>
          <w:spacing w:val="-6"/>
          <w:sz w:val="22"/>
          <w:szCs w:val="22"/>
        </w:rPr>
        <w:t>HG nr. 395/2016 pentru aprobarea Normelor metodologice de aplicare a prevederilor Legii nr. 98/2016 privind achizițiile publice, cu modificările și completările ulterioare;</w:t>
      </w:r>
    </w:p>
    <w:p w14:paraId="1F43DF25">
      <w:pPr>
        <w:pStyle w:val="56"/>
        <w:numPr>
          <w:ilvl w:val="0"/>
          <w:numId w:val="20"/>
        </w:numPr>
        <w:spacing w:before="120" w:after="120"/>
        <w:jc w:val="both"/>
        <w:rPr>
          <w:spacing w:val="-6"/>
          <w:sz w:val="22"/>
          <w:szCs w:val="22"/>
        </w:rPr>
      </w:pPr>
      <w:r>
        <w:rPr>
          <w:spacing w:val="-6"/>
          <w:sz w:val="22"/>
          <w:szCs w:val="22"/>
        </w:rPr>
        <w:t>Reglementari legislative în domeniul achizițiilor publice — pe site-ul: www.anap.gov.ro;</w:t>
      </w:r>
    </w:p>
    <w:p w14:paraId="09D45374">
      <w:pPr>
        <w:spacing w:before="120" w:after="120"/>
        <w:jc w:val="both"/>
        <w:rPr>
          <w:spacing w:val="-6"/>
          <w:sz w:val="22"/>
          <w:szCs w:val="22"/>
          <w:lang w:val="ro-RO"/>
        </w:rPr>
      </w:pPr>
      <w:r>
        <w:rPr>
          <w:spacing w:val="-6"/>
          <w:sz w:val="22"/>
          <w:szCs w:val="22"/>
          <w:lang w:val="ro-RO"/>
        </w:rPr>
        <w:t>Informații detaliate privind reglementările care sunt în vigoare la nivel național și care se refera la condițiile privind sănătatea și securitatea muncii, precum și cele de protecția mediului, se pot obține de la Ministerul Mediului, Apelor și Pădurilor și Ministerul Muncii, Familiei, Protecției Sociale și Persoanelor Vârstnice sau de pe site-urile http://www.mmuntcii.ro , http://www.mmediu.ro;</w:t>
      </w:r>
    </w:p>
    <w:p w14:paraId="319247C8">
      <w:pPr>
        <w:pStyle w:val="56"/>
        <w:numPr>
          <w:ilvl w:val="0"/>
          <w:numId w:val="20"/>
        </w:numPr>
        <w:spacing w:before="120" w:after="120"/>
        <w:jc w:val="both"/>
        <w:rPr>
          <w:spacing w:val="-6"/>
          <w:sz w:val="22"/>
          <w:szCs w:val="22"/>
        </w:rPr>
      </w:pPr>
      <w:r>
        <w:rPr>
          <w:spacing w:val="-6"/>
          <w:sz w:val="22"/>
          <w:szCs w:val="22"/>
        </w:rPr>
        <w:t>Acte normative ce stabilesc regulile obligatorii referitoare la condițiile de munca și de protecție a muncii, care sunt în vigoare la nivel național și care trebuie respectate pe parcursul îndeplinirii contractului: Legea protecției muncii nr. 319/2006; HG nr. 238/2002; HG nr. 1425/2006.</w:t>
      </w:r>
    </w:p>
    <w:p w14:paraId="53D897CD">
      <w:pPr>
        <w:spacing w:before="120" w:after="120"/>
        <w:jc w:val="both"/>
        <w:rPr>
          <w:spacing w:val="-6"/>
          <w:sz w:val="22"/>
          <w:szCs w:val="22"/>
          <w:lang w:val="ro-RO"/>
        </w:rPr>
      </w:pPr>
      <w:r>
        <w:rPr>
          <w:spacing w:val="-6"/>
          <w:sz w:val="22"/>
          <w:szCs w:val="22"/>
          <w:lang w:val="ro-RO"/>
        </w:rPr>
        <w:t>Ofertantul devenit contractant are obligația de a respecta obligațiile aplicabile în domeniul mediului, social și al muncii instituite prin dreptul Uniunii, prin dreptul național, prin acorduri colective sau prin dispozițiile internaționale de drept în domeniul mediului, social şi al muncii enumerate în anexa X la Directiva 2014/24, respectiv:</w:t>
      </w:r>
    </w:p>
    <w:p w14:paraId="37446CA3">
      <w:pPr>
        <w:pStyle w:val="56"/>
        <w:numPr>
          <w:ilvl w:val="0"/>
          <w:numId w:val="20"/>
        </w:numPr>
        <w:spacing w:before="120" w:after="120"/>
        <w:jc w:val="both"/>
        <w:rPr>
          <w:spacing w:val="-6"/>
          <w:sz w:val="22"/>
          <w:szCs w:val="22"/>
        </w:rPr>
      </w:pPr>
      <w:r>
        <w:rPr>
          <w:spacing w:val="-6"/>
          <w:sz w:val="22"/>
          <w:szCs w:val="22"/>
        </w:rPr>
        <w:t>Convenția nr. 87 a OIM privind libertatea de asociere și protecția dreptului de organizare;</w:t>
      </w:r>
    </w:p>
    <w:p w14:paraId="570888E6">
      <w:pPr>
        <w:pStyle w:val="56"/>
        <w:numPr>
          <w:ilvl w:val="0"/>
          <w:numId w:val="20"/>
        </w:numPr>
        <w:spacing w:before="120" w:after="120"/>
        <w:jc w:val="both"/>
        <w:rPr>
          <w:spacing w:val="-6"/>
          <w:sz w:val="22"/>
          <w:szCs w:val="22"/>
        </w:rPr>
      </w:pPr>
      <w:r>
        <w:rPr>
          <w:spacing w:val="-6"/>
          <w:sz w:val="22"/>
          <w:szCs w:val="22"/>
        </w:rPr>
        <w:t>Convenția nr. 98 a OIM privind dreptul de organizare și negociere colectivă;</w:t>
      </w:r>
    </w:p>
    <w:p w14:paraId="7D78B7AB">
      <w:pPr>
        <w:pStyle w:val="56"/>
        <w:numPr>
          <w:ilvl w:val="0"/>
          <w:numId w:val="20"/>
        </w:numPr>
        <w:spacing w:before="120" w:after="120"/>
        <w:jc w:val="both"/>
        <w:rPr>
          <w:spacing w:val="-6"/>
          <w:sz w:val="22"/>
          <w:szCs w:val="22"/>
        </w:rPr>
      </w:pPr>
      <w:r>
        <w:rPr>
          <w:spacing w:val="-6"/>
          <w:sz w:val="22"/>
          <w:szCs w:val="22"/>
        </w:rPr>
        <w:t>Convenția nr. 29 a OIM privind munca forțată;</w:t>
      </w:r>
    </w:p>
    <w:p w14:paraId="1B2B0C57">
      <w:pPr>
        <w:pStyle w:val="56"/>
        <w:numPr>
          <w:ilvl w:val="0"/>
          <w:numId w:val="20"/>
        </w:numPr>
        <w:spacing w:before="120" w:after="120"/>
        <w:jc w:val="both"/>
        <w:rPr>
          <w:spacing w:val="-6"/>
          <w:sz w:val="22"/>
          <w:szCs w:val="22"/>
        </w:rPr>
      </w:pPr>
      <w:r>
        <w:rPr>
          <w:spacing w:val="-6"/>
          <w:sz w:val="22"/>
          <w:szCs w:val="22"/>
        </w:rPr>
        <w:t>Convenția nr. 105 a OIM privind abolirea muncii forțate;</w:t>
      </w:r>
    </w:p>
    <w:p w14:paraId="5D852AC3">
      <w:pPr>
        <w:pStyle w:val="56"/>
        <w:numPr>
          <w:ilvl w:val="0"/>
          <w:numId w:val="20"/>
        </w:numPr>
        <w:spacing w:before="120" w:after="120"/>
        <w:jc w:val="both"/>
        <w:rPr>
          <w:spacing w:val="-6"/>
          <w:sz w:val="22"/>
          <w:szCs w:val="22"/>
        </w:rPr>
      </w:pPr>
      <w:r>
        <w:rPr>
          <w:spacing w:val="-6"/>
          <w:sz w:val="22"/>
          <w:szCs w:val="22"/>
        </w:rPr>
        <w:t>Convenția nr. 138 a OIM privind vârsta minimă de încadrare în muncă;</w:t>
      </w:r>
    </w:p>
    <w:p w14:paraId="58C66DC7">
      <w:pPr>
        <w:pStyle w:val="56"/>
        <w:numPr>
          <w:ilvl w:val="0"/>
          <w:numId w:val="20"/>
        </w:numPr>
        <w:spacing w:before="120" w:after="120"/>
        <w:jc w:val="both"/>
        <w:rPr>
          <w:spacing w:val="-6"/>
          <w:sz w:val="22"/>
          <w:szCs w:val="22"/>
        </w:rPr>
      </w:pPr>
      <w:r>
        <w:rPr>
          <w:spacing w:val="-6"/>
          <w:sz w:val="22"/>
          <w:szCs w:val="22"/>
        </w:rPr>
        <w:t>Convenția nr. 111 a OIM privind discriminarea (ocuparea forței de muncă și profesie);</w:t>
      </w:r>
    </w:p>
    <w:p w14:paraId="4F6E5D8F">
      <w:pPr>
        <w:pStyle w:val="56"/>
        <w:numPr>
          <w:ilvl w:val="0"/>
          <w:numId w:val="20"/>
        </w:numPr>
        <w:spacing w:before="120" w:after="120"/>
        <w:jc w:val="both"/>
        <w:rPr>
          <w:spacing w:val="-6"/>
          <w:sz w:val="22"/>
          <w:szCs w:val="22"/>
        </w:rPr>
      </w:pPr>
      <w:r>
        <w:rPr>
          <w:spacing w:val="-6"/>
          <w:sz w:val="22"/>
          <w:szCs w:val="22"/>
        </w:rPr>
        <w:t>Convenția nr. 100 a OIM privind egalitatea remunerației,</w:t>
      </w:r>
    </w:p>
    <w:p w14:paraId="580810DD">
      <w:pPr>
        <w:pStyle w:val="56"/>
        <w:numPr>
          <w:ilvl w:val="0"/>
          <w:numId w:val="20"/>
        </w:numPr>
        <w:spacing w:before="120" w:after="120"/>
        <w:jc w:val="both"/>
        <w:rPr>
          <w:spacing w:val="-6"/>
          <w:sz w:val="22"/>
          <w:szCs w:val="22"/>
        </w:rPr>
      </w:pPr>
      <w:r>
        <w:rPr>
          <w:spacing w:val="-6"/>
          <w:sz w:val="22"/>
          <w:szCs w:val="22"/>
        </w:rPr>
        <w:t>Convenția nr. 182 a OIM privind cele mai grave forme ale muncii copiilor;</w:t>
      </w:r>
    </w:p>
    <w:p w14:paraId="487BC6ED">
      <w:pPr>
        <w:pStyle w:val="56"/>
        <w:numPr>
          <w:ilvl w:val="0"/>
          <w:numId w:val="20"/>
        </w:numPr>
        <w:spacing w:before="120" w:after="120"/>
        <w:jc w:val="both"/>
        <w:rPr>
          <w:spacing w:val="-6"/>
          <w:sz w:val="22"/>
          <w:szCs w:val="22"/>
        </w:rPr>
      </w:pPr>
      <w:r>
        <w:rPr>
          <w:spacing w:val="-6"/>
          <w:sz w:val="22"/>
          <w:szCs w:val="22"/>
        </w:rPr>
        <w:t>Convenția de la Viena privind protecția stratului de ozon și Protocolul său de la Montreal privind substanțele care epuizează stratul de ozon;</w:t>
      </w:r>
    </w:p>
    <w:p w14:paraId="4F8B475E">
      <w:pPr>
        <w:pStyle w:val="56"/>
        <w:numPr>
          <w:ilvl w:val="0"/>
          <w:numId w:val="20"/>
        </w:numPr>
        <w:spacing w:before="120" w:after="120"/>
        <w:jc w:val="both"/>
        <w:rPr>
          <w:spacing w:val="-6"/>
          <w:sz w:val="22"/>
          <w:szCs w:val="22"/>
        </w:rPr>
      </w:pPr>
      <w:r>
        <w:rPr>
          <w:spacing w:val="-6"/>
          <w:sz w:val="22"/>
          <w:szCs w:val="22"/>
        </w:rPr>
        <w:t>Convenția de ia Basel privind controlul circulației transfrontaliere a deșeurilor periculoase și al eliminării acestora (Convenția de la Basel);</w:t>
      </w:r>
    </w:p>
    <w:p w14:paraId="2D3DAFC0">
      <w:pPr>
        <w:pStyle w:val="56"/>
        <w:numPr>
          <w:ilvl w:val="0"/>
          <w:numId w:val="20"/>
        </w:numPr>
        <w:spacing w:before="120" w:after="120"/>
        <w:jc w:val="both"/>
        <w:rPr>
          <w:spacing w:val="-6"/>
          <w:sz w:val="22"/>
          <w:szCs w:val="22"/>
        </w:rPr>
      </w:pPr>
      <w:r>
        <w:rPr>
          <w:spacing w:val="-6"/>
          <w:sz w:val="22"/>
          <w:szCs w:val="22"/>
        </w:rPr>
        <w:t>Convenția de la Stockholm privind poluanții organici persistenți (Convenția de la Stockholm privind POP);</w:t>
      </w:r>
    </w:p>
    <w:p w14:paraId="328C20FB">
      <w:pPr>
        <w:pStyle w:val="56"/>
        <w:numPr>
          <w:ilvl w:val="0"/>
          <w:numId w:val="20"/>
        </w:numPr>
        <w:spacing w:before="120" w:after="120"/>
        <w:jc w:val="both"/>
        <w:rPr>
          <w:spacing w:val="-6"/>
          <w:sz w:val="22"/>
          <w:szCs w:val="22"/>
        </w:rPr>
      </w:pPr>
      <w:r>
        <w:rPr>
          <w:spacing w:val="-6"/>
          <w:sz w:val="22"/>
          <w:szCs w:val="22"/>
        </w:rPr>
        <w:t>Convenția de la Rotterdam privind procedura de consimțământ prealabil în cunoștință de cauză, aplicabilă anumitor produși chimici periculoși și pesticide care fac obiectul comerțului internațional (UNEP/FAO) (Convenția PIC), 10 septembrie 1998, și cele trei protocoale regionale ale sale.]</w:t>
      </w:r>
    </w:p>
    <w:p w14:paraId="44DA1AEB">
      <w:pPr>
        <w:spacing w:before="120" w:after="120"/>
        <w:jc w:val="both"/>
        <w:rPr>
          <w:spacing w:val="-6"/>
          <w:sz w:val="22"/>
          <w:szCs w:val="22"/>
          <w:lang w:val="ro-RO"/>
        </w:rPr>
      </w:pPr>
      <w:r>
        <w:rPr>
          <w:spacing w:val="-6"/>
          <w:sz w:val="22"/>
          <w:szCs w:val="22"/>
          <w:lang w:val="ro-RO"/>
        </w:rPr>
        <w:t>Actele normative și standardele indicate mai jos sunt considerate indicative și nelimitative; enumerarea actelor normative din acest capitol este oferită ca referință şi nu trebuie considerată limitativă: conform legii.</w:t>
      </w:r>
    </w:p>
    <w:p w14:paraId="7E478C20">
      <w:pPr>
        <w:spacing w:before="120" w:after="120"/>
        <w:jc w:val="both"/>
        <w:rPr>
          <w:iCs/>
          <w:spacing w:val="-6"/>
          <w:sz w:val="22"/>
          <w:szCs w:val="22"/>
          <w:lang w:val="ro-RO"/>
        </w:rPr>
      </w:pPr>
      <w:r>
        <w:rPr>
          <w:spacing w:val="-6"/>
          <w:sz w:val="22"/>
          <w:szCs w:val="22"/>
          <w:lang w:val="ro-RO"/>
        </w:rPr>
        <w:t xml:space="preserve">În cazul în care intervin schimbări legislative, contractantul are obligația de a informa autoritatea contractanta cu privire la consecințele asupra activităților care fac obiectul contractului și de a-și adapta activitatea în funcție de decizia autorității contractante în legătură cu schimbările legislative. </w:t>
      </w:r>
      <w:r>
        <w:rPr>
          <w:iCs/>
          <w:spacing w:val="-6"/>
          <w:sz w:val="22"/>
          <w:szCs w:val="22"/>
          <w:lang w:val="ro-RO"/>
        </w:rPr>
        <w:t xml:space="preserve">Ofertanții vor avea în vederea, în cazul achiziției de față, </w:t>
      </w:r>
      <w:r>
        <w:rPr>
          <w:b/>
          <w:bCs/>
          <w:iCs/>
          <w:spacing w:val="-6"/>
          <w:sz w:val="22"/>
          <w:szCs w:val="22"/>
          <w:lang w:val="ro-RO"/>
        </w:rPr>
        <w:t>respectarea principiului DNSH</w:t>
      </w:r>
      <w:r>
        <w:rPr>
          <w:iCs/>
          <w:spacing w:val="-6"/>
          <w:sz w:val="22"/>
          <w:szCs w:val="22"/>
          <w:lang w:val="ro-RO"/>
        </w:rPr>
        <w:t>, inclusiv prin următoarele elemente:</w:t>
      </w:r>
    </w:p>
    <w:p w14:paraId="19D790E7">
      <w:pPr>
        <w:pStyle w:val="56"/>
        <w:numPr>
          <w:ilvl w:val="0"/>
          <w:numId w:val="21"/>
        </w:numPr>
        <w:spacing w:before="120" w:after="120"/>
        <w:jc w:val="both"/>
        <w:rPr>
          <w:iCs/>
          <w:spacing w:val="-6"/>
          <w:sz w:val="22"/>
          <w:szCs w:val="22"/>
        </w:rPr>
      </w:pPr>
      <w:r>
        <w:rPr>
          <w:iCs/>
          <w:spacing w:val="-6"/>
          <w:sz w:val="22"/>
          <w:szCs w:val="22"/>
        </w:rPr>
        <w:t>Tehnologie avansată ce ajută la reducerea consumului de energie electrică (acolo unde este cazul);</w:t>
      </w:r>
    </w:p>
    <w:p w14:paraId="7DDEA955">
      <w:pPr>
        <w:pStyle w:val="56"/>
        <w:numPr>
          <w:ilvl w:val="0"/>
          <w:numId w:val="21"/>
        </w:numPr>
        <w:spacing w:before="120" w:after="120"/>
        <w:jc w:val="both"/>
        <w:rPr>
          <w:iCs/>
          <w:spacing w:val="-6"/>
          <w:sz w:val="22"/>
          <w:szCs w:val="22"/>
        </w:rPr>
      </w:pPr>
      <w:r>
        <w:rPr>
          <w:iCs/>
          <w:spacing w:val="-6"/>
          <w:sz w:val="22"/>
          <w:szCs w:val="22"/>
        </w:rPr>
        <w:t>Produsele achiziționate nu vor afecta în mod negativ eforturile de adaptare sau nivelul de reziliență la riscurile fizice legate de climă a altor persoane, a naturii, a activelor și a altor activități economice la nivel  local;</w:t>
      </w:r>
    </w:p>
    <w:p w14:paraId="621323A7">
      <w:pPr>
        <w:pStyle w:val="56"/>
        <w:numPr>
          <w:ilvl w:val="0"/>
          <w:numId w:val="21"/>
        </w:numPr>
        <w:spacing w:before="120" w:after="120"/>
        <w:jc w:val="both"/>
        <w:rPr>
          <w:iCs/>
          <w:spacing w:val="-6"/>
          <w:sz w:val="22"/>
          <w:szCs w:val="22"/>
        </w:rPr>
      </w:pPr>
      <w:r>
        <w:rPr>
          <w:iCs/>
          <w:spacing w:val="-6"/>
          <w:sz w:val="22"/>
          <w:szCs w:val="22"/>
        </w:rPr>
        <w:t>Realizarea unor produse cu conținut scăzut de formaldehidă (acolo unde este cazul);</w:t>
      </w:r>
    </w:p>
    <w:p w14:paraId="134BAE97">
      <w:pPr>
        <w:pStyle w:val="56"/>
        <w:numPr>
          <w:ilvl w:val="0"/>
          <w:numId w:val="21"/>
        </w:numPr>
        <w:spacing w:before="120" w:after="120"/>
        <w:ind w:left="20" w:right="20" w:firstLine="440"/>
        <w:contextualSpacing/>
        <w:jc w:val="both"/>
        <w:rPr>
          <w:sz w:val="22"/>
          <w:szCs w:val="22"/>
        </w:rPr>
      </w:pPr>
      <w:r>
        <w:rPr>
          <w:iCs/>
          <w:spacing w:val="-6"/>
          <w:sz w:val="22"/>
          <w:szCs w:val="22"/>
        </w:rPr>
        <w:t>Utilizarea de ambalaje reciclate, prietenoase cu mediul.</w:t>
      </w:r>
    </w:p>
    <w:p w14:paraId="59758011">
      <w:pPr>
        <w:pStyle w:val="30"/>
        <w:shd w:val="clear" w:color="auto" w:fill="auto"/>
        <w:spacing w:line="240" w:lineRule="auto"/>
        <w:ind w:left="20" w:right="20" w:firstLine="440"/>
        <w:contextualSpacing/>
        <w:rPr>
          <w:b w:val="0"/>
          <w:bCs w:val="0"/>
          <w:sz w:val="22"/>
          <w:szCs w:val="22"/>
          <w:lang w:val="ro-RO"/>
        </w:rPr>
      </w:pPr>
    </w:p>
    <w:p w14:paraId="0BBEE246">
      <w:pPr>
        <w:pStyle w:val="2"/>
        <w:spacing w:before="120" w:after="120" w:line="240" w:lineRule="auto"/>
        <w:ind w:hanging="357"/>
        <w:contextualSpacing w:val="0"/>
        <w:rPr>
          <w:sz w:val="22"/>
          <w:szCs w:val="22"/>
          <w:lang w:val="ro-RO"/>
        </w:rPr>
      </w:pPr>
      <w:bookmarkStart w:id="44" w:name="_Toc13127"/>
      <w:r>
        <w:rPr>
          <w:sz w:val="22"/>
          <w:szCs w:val="22"/>
          <w:lang w:val="ro-RO" w:eastAsia="ro-RO" w:bidi="ro-RO"/>
        </w:rPr>
        <w:t>Managementul/Gestionarea Contractului și activități de raportare în cadrul Contractului</w:t>
      </w:r>
      <w:bookmarkEnd w:id="44"/>
    </w:p>
    <w:p w14:paraId="34FB3F98">
      <w:pPr>
        <w:spacing w:before="120" w:after="120"/>
        <w:jc w:val="both"/>
        <w:rPr>
          <w:iCs/>
          <w:spacing w:val="-6"/>
          <w:sz w:val="22"/>
          <w:szCs w:val="22"/>
          <w:lang w:val="ro-RO"/>
        </w:rPr>
      </w:pPr>
      <w:r>
        <w:rPr>
          <w:iCs/>
          <w:spacing w:val="-6"/>
          <w:sz w:val="22"/>
          <w:szCs w:val="22"/>
          <w:lang w:val="ro-RO"/>
        </w:rPr>
        <w:t>Părțile se asigură că, la momentul semnării Contractului, Graficul de livrare reprezintă eșalonarea fizică și valorică a livrărilor de Produse din Contract stabilită în corelație cu data efectivă a semnării Contractului și conține datele exacte pentru toate Termenele și/sau Punctele de Reper, astfel cum sunt acestea determinate pentru toate activitățile din Contract. Graficul inițial de livrare se va realiza fără indicarea datei efective, sub forma prima zi de la emiterea Notei de Comandă, a doua zi de la primirea Notei de Comandă, etc.</w:t>
      </w:r>
    </w:p>
    <w:p w14:paraId="25C36B7C">
      <w:pPr>
        <w:spacing w:before="120" w:after="120"/>
        <w:jc w:val="both"/>
        <w:rPr>
          <w:iCs/>
          <w:spacing w:val="-6"/>
          <w:sz w:val="22"/>
          <w:szCs w:val="22"/>
          <w:lang w:val="ro-RO"/>
        </w:rPr>
      </w:pPr>
      <w:r>
        <w:rPr>
          <w:iCs/>
          <w:spacing w:val="-6"/>
          <w:sz w:val="22"/>
          <w:szCs w:val="22"/>
          <w:lang w:val="ro-RO"/>
        </w:rPr>
        <w:t>Livrarea Produselor se realizează în succesiunea și cu respectarea termenelor stabilite prin Graficul de livrare, astfel cum este acceptat de către Autoritatea Contractantă și cum este constituit ca parte integrantă din Contract.</w:t>
      </w:r>
    </w:p>
    <w:p w14:paraId="54FF2F8A">
      <w:pPr>
        <w:spacing w:before="120" w:after="120"/>
        <w:jc w:val="both"/>
        <w:rPr>
          <w:iCs/>
          <w:spacing w:val="-6"/>
          <w:sz w:val="22"/>
          <w:szCs w:val="22"/>
          <w:lang w:val="ro-RO"/>
        </w:rPr>
      </w:pPr>
      <w:r>
        <w:rPr>
          <w:iCs/>
          <w:spacing w:val="-6"/>
          <w:sz w:val="22"/>
          <w:szCs w:val="22"/>
          <w:lang w:val="ro-RO"/>
        </w:rPr>
        <w:t>Verificarea îndeplinirii obligațiilor contractuale de către Contractor și evaluarea stadiului activităților, în sensul respectării Termenelor și Punctelor de Reper stabilite pentru livrarea Produselor, se face prin raportare la conținutul Graficul de livrare acceptat.</w:t>
      </w:r>
    </w:p>
    <w:p w14:paraId="5CCFA383">
      <w:pPr>
        <w:spacing w:before="120" w:after="120"/>
        <w:jc w:val="both"/>
        <w:rPr>
          <w:iCs/>
          <w:spacing w:val="-6"/>
          <w:sz w:val="22"/>
          <w:szCs w:val="22"/>
          <w:lang w:val="ro-RO"/>
        </w:rPr>
      </w:pPr>
      <w:r>
        <w:rPr>
          <w:iCs/>
          <w:spacing w:val="-6"/>
          <w:sz w:val="22"/>
          <w:szCs w:val="22"/>
          <w:lang w:val="ro-RO"/>
        </w:rPr>
        <w:t>În cazul în care, pe parcursul duratei Contractului, Autoritatea Contractantă constată și consideră că livrarea Produselor nu respectă eșalonarea fizică a activităților, astfel cum este stabilită prin Graficul de livrare, Autoritatea Contractantă are obligația de a solicita Contractorului să prezinte graficul actualizat, iar Contractorul are obligația de a prezenta graficul revizuit, în vederea finalizării livrărilor la data stabilită în Contract.</w:t>
      </w:r>
    </w:p>
    <w:p w14:paraId="24C0C563">
      <w:pPr>
        <w:spacing w:before="120" w:after="120"/>
        <w:jc w:val="both"/>
        <w:rPr>
          <w:iCs/>
          <w:spacing w:val="-6"/>
          <w:sz w:val="22"/>
          <w:szCs w:val="22"/>
          <w:lang w:val="ro-RO"/>
        </w:rPr>
      </w:pPr>
      <w:r>
        <w:rPr>
          <w:iCs/>
          <w:spacing w:val="-6"/>
          <w:sz w:val="22"/>
          <w:szCs w:val="22"/>
          <w:lang w:val="ro-RO"/>
        </w:rPr>
        <w:t>Orice versiune aprobată a Graficului de livrare înlocuiește versiunile anterioare</w:t>
      </w:r>
    </w:p>
    <w:p w14:paraId="126136EB">
      <w:pPr>
        <w:spacing w:before="120" w:after="120"/>
        <w:jc w:val="both"/>
        <w:rPr>
          <w:iCs/>
          <w:spacing w:val="-6"/>
          <w:sz w:val="22"/>
          <w:szCs w:val="22"/>
          <w:lang w:val="ro-RO"/>
        </w:rPr>
      </w:pPr>
      <w:r>
        <w:rPr>
          <w:iCs/>
          <w:spacing w:val="-6"/>
          <w:sz w:val="22"/>
          <w:szCs w:val="22"/>
          <w:lang w:val="ro-RO"/>
        </w:rPr>
        <w:t>Monitorizarea activităților realizate de către Contractor se va realiza de către Echipa de Implementare a Proiectului constituită la nivelul UAT Municipiul Slobozia, și va viza:</w:t>
      </w:r>
    </w:p>
    <w:p w14:paraId="36848194">
      <w:pPr>
        <w:pStyle w:val="56"/>
        <w:widowControl w:val="0"/>
        <w:numPr>
          <w:ilvl w:val="0"/>
          <w:numId w:val="22"/>
        </w:numPr>
        <w:spacing w:before="120" w:after="120"/>
        <w:ind w:left="714" w:hanging="357"/>
        <w:jc w:val="both"/>
        <w:rPr>
          <w:iCs/>
          <w:spacing w:val="-6"/>
          <w:sz w:val="22"/>
          <w:szCs w:val="22"/>
        </w:rPr>
      </w:pPr>
      <w:r>
        <w:rPr>
          <w:iCs/>
          <w:spacing w:val="-6"/>
          <w:sz w:val="22"/>
          <w:szCs w:val="22"/>
        </w:rPr>
        <w:t xml:space="preserve">Respectarea termenelor de livrare asumate în ofertă, în Graficul de livrare </w:t>
      </w:r>
    </w:p>
    <w:p w14:paraId="146BEB0D">
      <w:pPr>
        <w:pStyle w:val="56"/>
        <w:widowControl w:val="0"/>
        <w:numPr>
          <w:ilvl w:val="0"/>
          <w:numId w:val="22"/>
        </w:numPr>
        <w:spacing w:before="120" w:after="120"/>
        <w:ind w:left="714" w:hanging="357"/>
        <w:jc w:val="both"/>
        <w:rPr>
          <w:iCs/>
          <w:spacing w:val="-6"/>
          <w:sz w:val="22"/>
          <w:szCs w:val="22"/>
        </w:rPr>
      </w:pPr>
      <w:r>
        <w:rPr>
          <w:iCs/>
          <w:spacing w:val="-6"/>
          <w:sz w:val="22"/>
          <w:szCs w:val="22"/>
        </w:rPr>
        <w:t>Respectarea cerințelor din caietul de sarcini</w:t>
      </w:r>
    </w:p>
    <w:p w14:paraId="0B2514DD">
      <w:pPr>
        <w:pStyle w:val="56"/>
        <w:widowControl w:val="0"/>
        <w:numPr>
          <w:ilvl w:val="0"/>
          <w:numId w:val="22"/>
        </w:numPr>
        <w:spacing w:before="120" w:after="120"/>
        <w:ind w:left="714" w:hanging="357"/>
        <w:jc w:val="both"/>
        <w:rPr>
          <w:iCs/>
          <w:spacing w:val="-6"/>
          <w:sz w:val="22"/>
          <w:szCs w:val="22"/>
        </w:rPr>
      </w:pPr>
      <w:r>
        <w:rPr>
          <w:iCs/>
          <w:spacing w:val="-6"/>
          <w:sz w:val="22"/>
          <w:szCs w:val="22"/>
        </w:rPr>
        <w:t>Verificarea calitativă și cantitativă a produselor prevăzute în prezentul Caiet de sarcini.</w:t>
      </w:r>
    </w:p>
    <w:p w14:paraId="289E0C2C">
      <w:pPr>
        <w:pStyle w:val="56"/>
        <w:widowControl w:val="0"/>
        <w:numPr>
          <w:ilvl w:val="0"/>
          <w:numId w:val="22"/>
        </w:numPr>
        <w:spacing w:before="120" w:after="120"/>
        <w:ind w:left="714" w:hanging="357"/>
        <w:jc w:val="both"/>
        <w:rPr>
          <w:iCs/>
          <w:spacing w:val="-6"/>
          <w:sz w:val="22"/>
          <w:szCs w:val="22"/>
        </w:rPr>
      </w:pPr>
      <w:r>
        <w:rPr>
          <w:iCs/>
          <w:spacing w:val="-6"/>
          <w:sz w:val="22"/>
          <w:szCs w:val="22"/>
        </w:rPr>
        <w:t>Măsurători aferente progresului fizic al livrărilor efectuate se vor realiza prin procese verbale de recepție cantitativă și calitativă care vor certifica conformitatea cu prevederile caietului de sarcini și propunerii tehnice.</w:t>
      </w:r>
    </w:p>
    <w:p w14:paraId="5245BC11">
      <w:pPr>
        <w:widowControl w:val="0"/>
        <w:spacing w:before="120" w:after="120"/>
        <w:jc w:val="both"/>
        <w:rPr>
          <w:iCs/>
          <w:spacing w:val="-6"/>
          <w:sz w:val="22"/>
          <w:szCs w:val="22"/>
          <w:lang w:val="ro-RO"/>
        </w:rPr>
      </w:pPr>
      <w:r>
        <w:rPr>
          <w:iCs/>
          <w:spacing w:val="-6"/>
          <w:sz w:val="22"/>
          <w:szCs w:val="22"/>
          <w:lang w:val="ro-RO"/>
        </w:rPr>
        <w:t>Calendarul pentru îndeplinirea sarcinilor:</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97"/>
        <w:gridCol w:w="3013"/>
        <w:gridCol w:w="3652"/>
      </w:tblGrid>
      <w:tr w14:paraId="2A19D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655" w:type="pct"/>
            <w:shd w:val="clear" w:color="auto" w:fill="D8D8D8" w:themeFill="background1" w:themeFillShade="D9"/>
            <w:vAlign w:val="center"/>
          </w:tcPr>
          <w:p w14:paraId="584CA7F9">
            <w:pPr>
              <w:widowControl w:val="0"/>
              <w:jc w:val="center"/>
              <w:rPr>
                <w:b/>
                <w:bCs/>
                <w:spacing w:val="-6"/>
                <w:sz w:val="22"/>
                <w:szCs w:val="22"/>
                <w:lang w:val="ro-RO"/>
              </w:rPr>
            </w:pPr>
            <w:r>
              <w:rPr>
                <w:b/>
                <w:bCs/>
                <w:spacing w:val="-6"/>
                <w:sz w:val="22"/>
                <w:szCs w:val="22"/>
                <w:lang w:val="ro-RO"/>
              </w:rPr>
              <w:t>Activitate</w:t>
            </w:r>
          </w:p>
        </w:tc>
        <w:tc>
          <w:tcPr>
            <w:tcW w:w="1512" w:type="pct"/>
            <w:shd w:val="clear" w:color="auto" w:fill="D8D8D8" w:themeFill="background1" w:themeFillShade="D9"/>
            <w:vAlign w:val="center"/>
          </w:tcPr>
          <w:p w14:paraId="0FD4E675">
            <w:pPr>
              <w:widowControl w:val="0"/>
              <w:jc w:val="center"/>
              <w:rPr>
                <w:b/>
                <w:bCs/>
                <w:spacing w:val="-6"/>
                <w:sz w:val="22"/>
                <w:szCs w:val="22"/>
                <w:lang w:val="ro-RO"/>
              </w:rPr>
            </w:pPr>
            <w:r>
              <w:rPr>
                <w:b/>
                <w:bCs/>
                <w:spacing w:val="-6"/>
                <w:sz w:val="22"/>
                <w:szCs w:val="22"/>
                <w:lang w:val="ro-RO"/>
              </w:rPr>
              <w:t>Responsabil</w:t>
            </w:r>
          </w:p>
        </w:tc>
        <w:tc>
          <w:tcPr>
            <w:tcW w:w="1834" w:type="pct"/>
            <w:shd w:val="clear" w:color="auto" w:fill="D8D8D8" w:themeFill="background1" w:themeFillShade="D9"/>
            <w:vAlign w:val="center"/>
          </w:tcPr>
          <w:p w14:paraId="7599D8AA">
            <w:pPr>
              <w:widowControl w:val="0"/>
              <w:jc w:val="center"/>
              <w:rPr>
                <w:b/>
                <w:bCs/>
                <w:spacing w:val="-6"/>
                <w:sz w:val="22"/>
                <w:szCs w:val="22"/>
                <w:lang w:val="ro-RO"/>
              </w:rPr>
            </w:pPr>
            <w:r>
              <w:rPr>
                <w:b/>
                <w:bCs/>
                <w:spacing w:val="-6"/>
                <w:sz w:val="22"/>
                <w:szCs w:val="22"/>
                <w:lang w:val="ro-RO"/>
              </w:rPr>
              <w:t>Termen</w:t>
            </w:r>
          </w:p>
        </w:tc>
      </w:tr>
      <w:tr w14:paraId="258E2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5" w:type="pct"/>
            <w:vAlign w:val="center"/>
          </w:tcPr>
          <w:p w14:paraId="3CE084AB">
            <w:pPr>
              <w:widowControl w:val="0"/>
              <w:jc w:val="both"/>
              <w:rPr>
                <w:spacing w:val="-6"/>
                <w:sz w:val="22"/>
                <w:szCs w:val="22"/>
                <w:lang w:val="ro-RO"/>
              </w:rPr>
            </w:pPr>
            <w:r>
              <w:rPr>
                <w:spacing w:val="-6"/>
                <w:sz w:val="22"/>
                <w:szCs w:val="22"/>
                <w:lang w:val="ro-RO"/>
              </w:rPr>
              <w:t>Constituire garanție de bună execuție</w:t>
            </w:r>
          </w:p>
        </w:tc>
        <w:tc>
          <w:tcPr>
            <w:tcW w:w="1512" w:type="pct"/>
            <w:vAlign w:val="center"/>
          </w:tcPr>
          <w:p w14:paraId="0C4E6CFD">
            <w:pPr>
              <w:widowControl w:val="0"/>
              <w:jc w:val="both"/>
              <w:rPr>
                <w:spacing w:val="-6"/>
                <w:sz w:val="22"/>
                <w:szCs w:val="22"/>
                <w:lang w:val="ro-RO"/>
              </w:rPr>
            </w:pPr>
            <w:r>
              <w:rPr>
                <w:spacing w:val="-6"/>
                <w:sz w:val="22"/>
                <w:szCs w:val="22"/>
                <w:lang w:val="ro-RO"/>
              </w:rPr>
              <w:t>Contractor</w:t>
            </w:r>
          </w:p>
        </w:tc>
        <w:tc>
          <w:tcPr>
            <w:tcW w:w="1834" w:type="pct"/>
            <w:vAlign w:val="center"/>
          </w:tcPr>
          <w:p w14:paraId="37B7E9B9">
            <w:pPr>
              <w:widowControl w:val="0"/>
              <w:jc w:val="both"/>
              <w:rPr>
                <w:spacing w:val="-6"/>
                <w:sz w:val="22"/>
                <w:szCs w:val="22"/>
                <w:highlight w:val="yellow"/>
                <w:lang w:val="ro-RO"/>
              </w:rPr>
            </w:pPr>
            <w:r>
              <w:rPr>
                <w:spacing w:val="-6"/>
                <w:sz w:val="22"/>
                <w:szCs w:val="22"/>
                <w:lang w:val="ro-RO"/>
              </w:rPr>
              <w:t xml:space="preserve">5 zile lucrătoare de la semnarea contractului. </w:t>
            </w:r>
            <w:r>
              <w:rPr>
                <w:rFonts w:eastAsiaTheme="minorHAnsi"/>
                <w:sz w:val="22"/>
                <w:szCs w:val="22"/>
                <w:lang w:val="ro-RO"/>
              </w:rPr>
              <w:t>Acest termen poate fi prelungit la solicitarea justificată a contractantului, fără a depăși 15 zile de la data semnării contractului de achiziție publică.</w:t>
            </w:r>
          </w:p>
        </w:tc>
      </w:tr>
      <w:tr w14:paraId="0193E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5" w:type="pct"/>
            <w:vAlign w:val="center"/>
          </w:tcPr>
          <w:p w14:paraId="587F7EC5">
            <w:pPr>
              <w:widowControl w:val="0"/>
              <w:jc w:val="both"/>
              <w:rPr>
                <w:spacing w:val="-6"/>
                <w:sz w:val="22"/>
                <w:szCs w:val="22"/>
                <w:lang w:val="ro-RO"/>
              </w:rPr>
            </w:pPr>
            <w:r>
              <w:rPr>
                <w:spacing w:val="-6"/>
                <w:sz w:val="22"/>
                <w:szCs w:val="22"/>
                <w:lang w:val="ro-RO"/>
              </w:rPr>
              <w:t>Emitere Notă de Comandă</w:t>
            </w:r>
          </w:p>
        </w:tc>
        <w:tc>
          <w:tcPr>
            <w:tcW w:w="1512" w:type="pct"/>
            <w:vAlign w:val="center"/>
          </w:tcPr>
          <w:p w14:paraId="2E2F1EBD">
            <w:pPr>
              <w:widowControl w:val="0"/>
              <w:jc w:val="both"/>
              <w:rPr>
                <w:spacing w:val="-6"/>
                <w:sz w:val="22"/>
                <w:szCs w:val="22"/>
                <w:lang w:val="ro-RO"/>
              </w:rPr>
            </w:pPr>
            <w:r>
              <w:rPr>
                <w:spacing w:val="-6"/>
                <w:sz w:val="22"/>
                <w:szCs w:val="22"/>
                <w:lang w:val="ro-RO"/>
              </w:rPr>
              <w:t>Autoritatea Contractantă</w:t>
            </w:r>
          </w:p>
        </w:tc>
        <w:tc>
          <w:tcPr>
            <w:tcW w:w="1834" w:type="pct"/>
            <w:vAlign w:val="center"/>
          </w:tcPr>
          <w:p w14:paraId="60BB03F6">
            <w:pPr>
              <w:widowControl w:val="0"/>
              <w:jc w:val="both"/>
              <w:rPr>
                <w:spacing w:val="-6"/>
                <w:sz w:val="22"/>
                <w:szCs w:val="22"/>
                <w:lang w:val="ro-RO"/>
              </w:rPr>
            </w:pPr>
            <w:r>
              <w:rPr>
                <w:bCs/>
                <w:spacing w:val="-6"/>
                <w:sz w:val="22"/>
                <w:szCs w:val="22"/>
                <w:lang w:val="ro-RO" w:eastAsia="ro-RO"/>
              </w:rPr>
              <w:t>După semnarea contractului de ambele părți și constituirea Garanției de Bună Execuție</w:t>
            </w:r>
          </w:p>
        </w:tc>
      </w:tr>
      <w:tr w14:paraId="035C9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5" w:type="pct"/>
            <w:vAlign w:val="center"/>
          </w:tcPr>
          <w:p w14:paraId="21825496">
            <w:pPr>
              <w:widowControl w:val="0"/>
              <w:jc w:val="both"/>
              <w:rPr>
                <w:spacing w:val="-6"/>
                <w:sz w:val="22"/>
                <w:szCs w:val="22"/>
                <w:lang w:val="ro-RO"/>
              </w:rPr>
            </w:pPr>
            <w:r>
              <w:rPr>
                <w:spacing w:val="-6"/>
                <w:sz w:val="22"/>
                <w:szCs w:val="22"/>
                <w:lang w:val="ro-RO"/>
              </w:rPr>
              <w:t>Livrare produse</w:t>
            </w:r>
          </w:p>
        </w:tc>
        <w:tc>
          <w:tcPr>
            <w:tcW w:w="1512" w:type="pct"/>
            <w:vAlign w:val="center"/>
          </w:tcPr>
          <w:p w14:paraId="1FF3D0C4">
            <w:pPr>
              <w:widowControl w:val="0"/>
              <w:jc w:val="both"/>
              <w:rPr>
                <w:spacing w:val="-6"/>
                <w:sz w:val="22"/>
                <w:szCs w:val="22"/>
                <w:lang w:val="ro-RO"/>
              </w:rPr>
            </w:pPr>
            <w:r>
              <w:rPr>
                <w:spacing w:val="-6"/>
                <w:sz w:val="22"/>
                <w:szCs w:val="22"/>
                <w:lang w:val="ro-RO"/>
              </w:rPr>
              <w:t>Contractor</w:t>
            </w:r>
          </w:p>
        </w:tc>
        <w:tc>
          <w:tcPr>
            <w:tcW w:w="1834" w:type="pct"/>
            <w:vAlign w:val="center"/>
          </w:tcPr>
          <w:p w14:paraId="679CBF1D">
            <w:pPr>
              <w:widowControl w:val="0"/>
              <w:jc w:val="both"/>
              <w:rPr>
                <w:spacing w:val="-6"/>
                <w:sz w:val="22"/>
                <w:szCs w:val="22"/>
                <w:lang w:val="ro-RO"/>
              </w:rPr>
            </w:pPr>
            <w:r>
              <w:rPr>
                <w:spacing w:val="-6"/>
                <w:sz w:val="22"/>
                <w:szCs w:val="22"/>
                <w:lang w:val="ro-RO"/>
              </w:rPr>
              <w:t xml:space="preserve">Maxim </w:t>
            </w:r>
            <w:r>
              <w:rPr>
                <w:rFonts w:hint="default"/>
                <w:spacing w:val="-6"/>
                <w:sz w:val="22"/>
                <w:szCs w:val="22"/>
                <w:lang w:val="en-US"/>
              </w:rPr>
              <w:t>1</w:t>
            </w:r>
            <w:r>
              <w:rPr>
                <w:spacing w:val="-6"/>
                <w:sz w:val="22"/>
                <w:szCs w:val="22"/>
                <w:lang w:val="ro-RO"/>
              </w:rPr>
              <w:t>0 de zile de la emiterea notei de Notei de Comandă</w:t>
            </w:r>
          </w:p>
        </w:tc>
      </w:tr>
      <w:tr w14:paraId="230C5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5" w:type="pct"/>
            <w:vAlign w:val="center"/>
          </w:tcPr>
          <w:p w14:paraId="131EB6F7">
            <w:pPr>
              <w:widowControl w:val="0"/>
              <w:jc w:val="both"/>
              <w:rPr>
                <w:spacing w:val="-6"/>
                <w:sz w:val="22"/>
                <w:szCs w:val="22"/>
                <w:lang w:val="ro-RO"/>
              </w:rPr>
            </w:pPr>
            <w:r>
              <w:rPr>
                <w:spacing w:val="-6"/>
                <w:sz w:val="22"/>
                <w:szCs w:val="22"/>
                <w:lang w:val="ro-RO"/>
              </w:rPr>
              <w:t xml:space="preserve">Recepția cantitativă </w:t>
            </w:r>
          </w:p>
        </w:tc>
        <w:tc>
          <w:tcPr>
            <w:tcW w:w="1512" w:type="pct"/>
            <w:vAlign w:val="center"/>
          </w:tcPr>
          <w:p w14:paraId="1C5DCE04">
            <w:pPr>
              <w:widowControl w:val="0"/>
              <w:jc w:val="both"/>
              <w:rPr>
                <w:spacing w:val="-6"/>
                <w:sz w:val="22"/>
                <w:szCs w:val="22"/>
                <w:lang w:val="ro-RO"/>
              </w:rPr>
            </w:pPr>
            <w:r>
              <w:rPr>
                <w:spacing w:val="-6"/>
                <w:sz w:val="22"/>
                <w:szCs w:val="22"/>
                <w:lang w:val="ro-RO"/>
              </w:rPr>
              <w:t>Autoritatea Contractantă / Contractor</w:t>
            </w:r>
          </w:p>
        </w:tc>
        <w:tc>
          <w:tcPr>
            <w:tcW w:w="3527" w:type="dxa"/>
            <w:vAlign w:val="center"/>
          </w:tcPr>
          <w:p w14:paraId="55B53057">
            <w:pPr>
              <w:widowControl w:val="0"/>
              <w:jc w:val="both"/>
              <w:rPr>
                <w:spacing w:val="-6"/>
                <w:sz w:val="22"/>
                <w:szCs w:val="22"/>
                <w:lang w:val="ro-RO"/>
              </w:rPr>
            </w:pPr>
            <w:r>
              <w:rPr>
                <w:spacing w:val="-6"/>
                <w:sz w:val="22"/>
                <w:szCs w:val="22"/>
                <w:lang w:val="ro-RO"/>
              </w:rPr>
              <w:t xml:space="preserve">Maxim </w:t>
            </w:r>
            <w:r>
              <w:rPr>
                <w:rFonts w:hint="default"/>
                <w:spacing w:val="-6"/>
                <w:sz w:val="22"/>
                <w:szCs w:val="22"/>
                <w:lang w:val="en-US"/>
              </w:rPr>
              <w:t>1</w:t>
            </w:r>
            <w:r>
              <w:rPr>
                <w:spacing w:val="-6"/>
                <w:sz w:val="22"/>
                <w:szCs w:val="22"/>
                <w:lang w:val="ro-RO"/>
              </w:rPr>
              <w:t>0 de zile de la emiterea notei de Notei de Comandă</w:t>
            </w:r>
          </w:p>
        </w:tc>
      </w:tr>
      <w:tr w14:paraId="06F8D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5" w:type="pct"/>
            <w:vAlign w:val="center"/>
          </w:tcPr>
          <w:p w14:paraId="2CA4BA2C">
            <w:pPr>
              <w:widowControl w:val="0"/>
              <w:jc w:val="both"/>
              <w:rPr>
                <w:spacing w:val="-6"/>
                <w:sz w:val="22"/>
                <w:szCs w:val="22"/>
                <w:lang w:val="ro-RO"/>
              </w:rPr>
            </w:pPr>
            <w:r>
              <w:rPr>
                <w:spacing w:val="-6"/>
                <w:sz w:val="22"/>
                <w:szCs w:val="22"/>
                <w:lang w:val="ro-RO"/>
              </w:rPr>
              <w:t>Recepția calitativă a produselor</w:t>
            </w:r>
          </w:p>
        </w:tc>
        <w:tc>
          <w:tcPr>
            <w:tcW w:w="1512" w:type="pct"/>
            <w:vAlign w:val="center"/>
          </w:tcPr>
          <w:p w14:paraId="4686EE8B">
            <w:pPr>
              <w:widowControl w:val="0"/>
              <w:jc w:val="both"/>
              <w:rPr>
                <w:spacing w:val="-6"/>
                <w:sz w:val="22"/>
                <w:szCs w:val="22"/>
                <w:lang w:val="ro-RO"/>
              </w:rPr>
            </w:pPr>
            <w:r>
              <w:rPr>
                <w:spacing w:val="-6"/>
                <w:sz w:val="22"/>
                <w:szCs w:val="22"/>
                <w:lang w:val="ro-RO"/>
              </w:rPr>
              <w:t>Autoritatea Contractantă / Contractor</w:t>
            </w:r>
          </w:p>
        </w:tc>
        <w:tc>
          <w:tcPr>
            <w:tcW w:w="3527" w:type="dxa"/>
            <w:vAlign w:val="center"/>
          </w:tcPr>
          <w:p w14:paraId="417A2C0E">
            <w:pPr>
              <w:widowControl w:val="0"/>
              <w:jc w:val="both"/>
              <w:rPr>
                <w:bCs/>
                <w:spacing w:val="-6"/>
                <w:sz w:val="22"/>
                <w:szCs w:val="22"/>
                <w:lang w:val="ro-RO" w:eastAsia="ro-RO"/>
              </w:rPr>
            </w:pPr>
            <w:r>
              <w:rPr>
                <w:spacing w:val="-6"/>
                <w:sz w:val="22"/>
                <w:szCs w:val="22"/>
                <w:lang w:val="ro-RO"/>
              </w:rPr>
              <w:t xml:space="preserve">Maxim </w:t>
            </w:r>
            <w:r>
              <w:rPr>
                <w:rFonts w:hint="default"/>
                <w:spacing w:val="-6"/>
                <w:sz w:val="22"/>
                <w:szCs w:val="22"/>
                <w:lang w:val="en-US"/>
              </w:rPr>
              <w:t>1</w:t>
            </w:r>
            <w:r>
              <w:rPr>
                <w:spacing w:val="-6"/>
                <w:sz w:val="22"/>
                <w:szCs w:val="22"/>
                <w:lang w:val="ro-RO"/>
              </w:rPr>
              <w:t>0 de zile de la emiterea notei de Notei de Comandă, după predarea-primirea (recepția)</w:t>
            </w:r>
          </w:p>
        </w:tc>
      </w:tr>
    </w:tbl>
    <w:p w14:paraId="140D2D23">
      <w:pPr>
        <w:pStyle w:val="30"/>
        <w:shd w:val="clear" w:color="auto" w:fill="auto"/>
        <w:spacing w:line="240" w:lineRule="auto"/>
        <w:ind w:left="20" w:right="20" w:firstLine="440"/>
        <w:contextualSpacing/>
        <w:rPr>
          <w:b w:val="0"/>
          <w:bCs w:val="0"/>
          <w:sz w:val="22"/>
          <w:szCs w:val="22"/>
          <w:lang w:val="ro-RO"/>
        </w:rPr>
      </w:pPr>
    </w:p>
    <w:p w14:paraId="5889662A">
      <w:pPr>
        <w:pStyle w:val="2"/>
        <w:spacing w:line="240" w:lineRule="auto"/>
        <w:rPr>
          <w:sz w:val="22"/>
          <w:szCs w:val="22"/>
          <w:lang w:val="ro-RO"/>
        </w:rPr>
      </w:pPr>
      <w:bookmarkStart w:id="45" w:name="_Toc26153"/>
      <w:r>
        <w:rPr>
          <w:sz w:val="22"/>
          <w:szCs w:val="22"/>
          <w:lang w:val="ro-RO" w:eastAsia="ro-RO" w:bidi="ro-RO"/>
        </w:rPr>
        <w:t>Evaluarea performanței contractului</w:t>
      </w:r>
      <w:bookmarkEnd w:id="45"/>
    </w:p>
    <w:p w14:paraId="2A2139EB">
      <w:pPr>
        <w:spacing w:before="120" w:after="120"/>
        <w:jc w:val="both"/>
        <w:rPr>
          <w:iCs/>
          <w:spacing w:val="-6"/>
          <w:sz w:val="22"/>
          <w:szCs w:val="22"/>
          <w:lang w:val="ro-RO"/>
        </w:rPr>
      </w:pPr>
      <w:r>
        <w:rPr>
          <w:iCs/>
          <w:spacing w:val="-6"/>
          <w:sz w:val="22"/>
          <w:szCs w:val="22"/>
          <w:lang w:val="ro-RO"/>
        </w:rPr>
        <w:t>Nu este cazul</w:t>
      </w:r>
    </w:p>
    <w:p w14:paraId="57B7ABFC">
      <w:pPr>
        <w:pStyle w:val="30"/>
        <w:shd w:val="clear" w:color="auto" w:fill="auto"/>
        <w:spacing w:line="240" w:lineRule="auto"/>
        <w:ind w:left="20" w:right="20" w:firstLine="440"/>
        <w:contextualSpacing/>
        <w:rPr>
          <w:b w:val="0"/>
          <w:bCs w:val="0"/>
          <w:sz w:val="22"/>
          <w:szCs w:val="22"/>
          <w:lang w:val="ro-RO"/>
        </w:rPr>
      </w:pPr>
    </w:p>
    <w:p w14:paraId="3C4DC48E">
      <w:pPr>
        <w:pStyle w:val="2"/>
        <w:spacing w:line="240" w:lineRule="auto"/>
        <w:rPr>
          <w:sz w:val="22"/>
          <w:szCs w:val="22"/>
          <w:lang w:val="ro-RO"/>
        </w:rPr>
      </w:pPr>
      <w:bookmarkStart w:id="46" w:name="_Toc8244"/>
      <w:r>
        <w:rPr>
          <w:sz w:val="22"/>
          <w:szCs w:val="22"/>
          <w:lang w:val="ro-RO" w:eastAsia="ro-RO" w:bidi="ro-RO"/>
        </w:rPr>
        <w:t>Dispoziții tranzitorii și finale</w:t>
      </w:r>
      <w:bookmarkEnd w:id="46"/>
    </w:p>
    <w:p w14:paraId="0E7A458B">
      <w:pPr>
        <w:pStyle w:val="28"/>
        <w:spacing w:before="120" w:after="120" w:line="240" w:lineRule="auto"/>
        <w:ind w:left="20" w:right="20" w:firstLine="0"/>
        <w:rPr>
          <w:spacing w:val="-6"/>
          <w:sz w:val="22"/>
          <w:szCs w:val="22"/>
        </w:rPr>
      </w:pPr>
      <w:r>
        <w:rPr>
          <w:b/>
          <w:bCs/>
          <w:spacing w:val="-6"/>
          <w:sz w:val="22"/>
          <w:szCs w:val="22"/>
        </w:rPr>
        <w:t>Ofertantul va prezenta în propunerea tehnică o situație tabelară unde va detalia/comenta, punct cu punct solicitările autorității contractante din caietul de sarcini/specificația tehnică cu trimitere, unde este cazul, la fișa/cartea tehnică sau pliante</w:t>
      </w:r>
      <w:r>
        <w:rPr>
          <w:spacing w:val="-6"/>
          <w:sz w:val="22"/>
          <w:szCs w:val="22"/>
        </w:rPr>
        <w:t>. Fișele/cărțile tehnice sau pliantele se vor numerota în conformitate cu cerințele din caietul de sarcini. Fișele, cărțile tehnice, pliantele aferente produsului care urmează a fi furnizat, depuse de ofertant trebuie să fie traduse în limba română și încărcate în ordine cronologica.</w:t>
      </w:r>
    </w:p>
    <w:p w14:paraId="03CAA3B1">
      <w:pPr>
        <w:pStyle w:val="28"/>
        <w:spacing w:before="120" w:after="120" w:line="240" w:lineRule="auto"/>
        <w:ind w:left="20" w:right="20" w:firstLine="0"/>
        <w:rPr>
          <w:spacing w:val="-6"/>
          <w:sz w:val="22"/>
          <w:szCs w:val="22"/>
        </w:rPr>
      </w:pPr>
      <w:r>
        <w:rPr>
          <w:spacing w:val="-6"/>
          <w:sz w:val="22"/>
          <w:szCs w:val="22"/>
        </w:rPr>
        <w:t>Ofertantul care nu introduce propunerea tehnică în sistem, nu poate fi analizat din punct de vedere tehnic și va fi exclus.</w:t>
      </w:r>
    </w:p>
    <w:p w14:paraId="0FF667A3">
      <w:pPr>
        <w:pStyle w:val="28"/>
        <w:shd w:val="clear" w:color="auto" w:fill="auto"/>
        <w:spacing w:before="120" w:after="120" w:line="240" w:lineRule="auto"/>
        <w:ind w:left="20" w:right="20" w:firstLine="0"/>
        <w:rPr>
          <w:b/>
          <w:bCs/>
          <w:color w:val="auto"/>
          <w:spacing w:val="-6"/>
          <w:sz w:val="22"/>
          <w:szCs w:val="22"/>
        </w:rPr>
      </w:pPr>
      <w:r>
        <w:rPr>
          <w:b/>
          <w:bCs/>
          <w:spacing w:val="-6"/>
          <w:sz w:val="22"/>
          <w:szCs w:val="22"/>
        </w:rPr>
        <w:t xml:space="preserve">Propunerea tehnica se va completa punct cu punct cu caracteristicile produsului ofertat. Nu este suficientă trimiterea la foile de catalog, pliante, </w:t>
      </w:r>
      <w:r>
        <w:rPr>
          <w:b/>
          <w:bCs/>
          <w:color w:val="auto"/>
          <w:spacing w:val="-6"/>
          <w:sz w:val="22"/>
          <w:szCs w:val="22"/>
        </w:rPr>
        <w:t>link-uri.</w:t>
      </w:r>
    </w:p>
    <w:p w14:paraId="7AF2A3BD">
      <w:pPr>
        <w:pStyle w:val="28"/>
        <w:shd w:val="clear" w:color="auto" w:fill="auto"/>
        <w:spacing w:before="120" w:after="120" w:line="240" w:lineRule="auto"/>
        <w:ind w:left="20" w:right="20" w:firstLine="0"/>
        <w:rPr>
          <w:b/>
          <w:bCs/>
          <w:spacing w:val="-6"/>
          <w:sz w:val="22"/>
          <w:szCs w:val="22"/>
        </w:rPr>
      </w:pPr>
      <w:r>
        <w:rPr>
          <w:b/>
          <w:bCs/>
          <w:spacing w:val="-6"/>
          <w:sz w:val="22"/>
          <w:szCs w:val="22"/>
        </w:rPr>
        <w:t>Lipsa mijlocului de probare / demonstrare a caracteristicilor tehnice ofertate va duce la eliminarea operatorului economic din procedură, nefiind permise ulterior completări și / sau îmbunătățiri a propunerii tehnice depuse in SEAP.</w:t>
      </w:r>
    </w:p>
    <w:p w14:paraId="49808D75">
      <w:pPr>
        <w:pStyle w:val="26"/>
        <w:shd w:val="clear" w:color="auto" w:fill="auto"/>
        <w:spacing w:before="120" w:after="120" w:line="240" w:lineRule="auto"/>
        <w:ind w:left="20" w:right="20" w:firstLine="0"/>
        <w:jc w:val="both"/>
        <w:rPr>
          <w:spacing w:val="-6"/>
          <w:sz w:val="22"/>
          <w:szCs w:val="22"/>
          <w:lang w:val="ro-RO"/>
        </w:rPr>
      </w:pPr>
      <w:r>
        <w:rPr>
          <w:spacing w:val="-6"/>
          <w:sz w:val="22"/>
          <w:szCs w:val="22"/>
          <w:lang w:val="ro-RO"/>
        </w:rPr>
        <w:t>Nu se acceptă declarații pe proprie răspundere / declarații de presă / studii independente sau alte documente dacă sunt emise de o altă terță persoană abilitată/certificată în acest sens. Produsul trebuie să îndeplinească toate condițiile legale pentru punerea pe piață în România, conform legislației specifice aplicabile, în corelare cu cerințele din documentația de atribuire.</w:t>
      </w:r>
    </w:p>
    <w:p w14:paraId="63BFAED3">
      <w:pPr>
        <w:pStyle w:val="26"/>
        <w:shd w:val="clear" w:color="auto" w:fill="auto"/>
        <w:spacing w:before="120" w:after="120" w:line="240" w:lineRule="auto"/>
        <w:ind w:left="20" w:right="20" w:firstLine="0"/>
        <w:jc w:val="both"/>
        <w:rPr>
          <w:spacing w:val="-6"/>
          <w:sz w:val="22"/>
          <w:szCs w:val="22"/>
          <w:lang w:val="ro-RO"/>
        </w:rPr>
      </w:pPr>
      <w:r>
        <w:rPr>
          <w:b/>
          <w:bCs/>
          <w:spacing w:val="-6"/>
          <w:sz w:val="22"/>
          <w:szCs w:val="22"/>
          <w:lang w:val="ro-RO"/>
        </w:rPr>
        <w:t>Ofertantul va da o declarație pe proprie răspundere referitoare la completitudinea, realitatea și corectitudinea documentelor prezentate</w:t>
      </w:r>
      <w:r>
        <w:rPr>
          <w:spacing w:val="-6"/>
          <w:sz w:val="22"/>
          <w:szCs w:val="22"/>
          <w:lang w:val="ro-RO"/>
        </w:rPr>
        <w:t xml:space="preserve"> și la faptul că toate informațiile și documentele depuse în cadrul ofertei sale sunt conforme cu realitatea și respectă legislația în vigoare raportat la fiecare produs ofertat, conform condițiilor impuse de actele normative incidente având cunoștință de prevederile art. 326 „Falsul in declarații” din Codul penal referitor la: (1) </w:t>
      </w:r>
      <w:r>
        <w:rPr>
          <w:rStyle w:val="51"/>
          <w:spacing w:val="-6"/>
        </w:rPr>
        <w:t>”Declararea necorespunzătoare a adevărului, făcută unei persoane dintre cele prevăzute in ort 175 sau unei unități în care aceasta își desfășoară activitatea în vederea producerii unei consecințe juridice, pentru sine sau pentru altul, atunci când, potrivit legii ori împrejurărilor, declarația făcută servește la producerea acelei consecințe, se pedepsește cu închisoare de la 6 luni la 2 ani sau cu amendă</w:t>
      </w:r>
      <w:r>
        <w:rPr>
          <w:spacing w:val="-6"/>
          <w:sz w:val="22"/>
          <w:szCs w:val="22"/>
          <w:lang w:val="ro-RO"/>
        </w:rPr>
        <w:t>”.</w:t>
      </w:r>
    </w:p>
    <w:p w14:paraId="4BA2AF04">
      <w:pPr>
        <w:pStyle w:val="26"/>
        <w:spacing w:before="120" w:after="120" w:line="240" w:lineRule="auto"/>
        <w:ind w:left="20" w:right="320" w:firstLine="0"/>
        <w:jc w:val="both"/>
        <w:rPr>
          <w:spacing w:val="-6"/>
          <w:sz w:val="22"/>
          <w:szCs w:val="22"/>
          <w:lang w:val="ro-RO"/>
        </w:rPr>
      </w:pPr>
      <w:r>
        <w:rPr>
          <w:spacing w:val="-6"/>
          <w:sz w:val="22"/>
          <w:szCs w:val="22"/>
          <w:lang w:val="ro-RO"/>
        </w:rPr>
        <w:t xml:space="preserve">Ofertanții vor întocmi propunerea tehnică într-o manieră organizată, astfel încât aceasta să asigure posibilitatea verificării în mod facil a corespondenței cu cerințele/specificațiile prevăzute în cadrul prezentei secțiuni, respectiv cu cele prevăzute în cadrul Caietului de sarcini și a documentelor anexate la acesta, care fac parte integrantă din documentația de atribuire. </w:t>
      </w:r>
    </w:p>
    <w:p w14:paraId="3B21088A">
      <w:pPr>
        <w:pStyle w:val="26"/>
        <w:spacing w:before="120" w:after="120" w:line="240" w:lineRule="auto"/>
        <w:ind w:left="20" w:right="320" w:firstLine="0"/>
        <w:jc w:val="both"/>
        <w:rPr>
          <w:b/>
          <w:bCs/>
          <w:spacing w:val="-6"/>
          <w:sz w:val="22"/>
          <w:szCs w:val="22"/>
          <w:lang w:val="ro-RO"/>
        </w:rPr>
      </w:pPr>
      <w:r>
        <w:rPr>
          <w:b/>
          <w:bCs/>
          <w:spacing w:val="-6"/>
          <w:sz w:val="22"/>
          <w:szCs w:val="22"/>
          <w:lang w:val="ro-RO"/>
        </w:rPr>
        <w:t xml:space="preserve">Nu se admite copierea în tot sau în parte a caietului de sarcini (inclusiv conținutul anexelor) în cadrul propunerii tehnice, ofertanții având obligația de a proba conformitatea ofertei cu cerințele prin prezentarea propriei abordări/ metodologii asupra modului de îndeplinire. </w:t>
      </w:r>
      <w:r>
        <w:rPr>
          <w:spacing w:val="-6"/>
          <w:sz w:val="22"/>
          <w:szCs w:val="22"/>
          <w:lang w:val="ro-RO"/>
        </w:rPr>
        <w:tab/>
      </w:r>
    </w:p>
    <w:p w14:paraId="7D517909">
      <w:pPr>
        <w:pStyle w:val="3"/>
        <w:pBdr>
          <w:top w:val="single" w:color="auto" w:sz="4" w:space="1"/>
          <w:left w:val="single" w:color="auto" w:sz="4" w:space="4"/>
          <w:bottom w:val="single" w:color="auto" w:sz="4" w:space="1"/>
          <w:right w:val="single" w:color="auto" w:sz="4" w:space="4"/>
        </w:pBdr>
        <w:shd w:val="clear" w:color="auto" w:fill="D8D8D8" w:themeFill="background1" w:themeFillShade="D9"/>
        <w:spacing w:before="120" w:after="120" w:line="240" w:lineRule="auto"/>
        <w:ind w:left="20" w:right="320" w:firstLine="0"/>
        <w:rPr>
          <w:spacing w:val="-6"/>
          <w:sz w:val="22"/>
          <w:szCs w:val="22"/>
          <w:lang w:val="ro-RO"/>
        </w:rPr>
      </w:pPr>
      <w:r>
        <w:rPr>
          <w:spacing w:val="-6"/>
          <w:sz w:val="22"/>
          <w:szCs w:val="22"/>
          <w:lang w:val="ro-RO"/>
        </w:rPr>
        <w:t xml:space="preserve">Specificațiile tehnice care fac trimitere la standarde naționale sau la transpunerile unor standarde europene se vor citi „sau echivalent”. </w:t>
      </w:r>
    </w:p>
    <w:p w14:paraId="399D457B">
      <w:pPr>
        <w:pStyle w:val="3"/>
        <w:pBdr>
          <w:top w:val="single" w:color="auto" w:sz="4" w:space="1"/>
          <w:left w:val="single" w:color="auto" w:sz="4" w:space="4"/>
          <w:bottom w:val="single" w:color="auto" w:sz="4" w:space="1"/>
          <w:right w:val="single" w:color="auto" w:sz="4" w:space="4"/>
        </w:pBdr>
        <w:shd w:val="clear" w:color="auto" w:fill="D8D8D8" w:themeFill="background1" w:themeFillShade="D9"/>
        <w:spacing w:before="120" w:after="120" w:line="240" w:lineRule="auto"/>
        <w:ind w:left="20" w:right="320" w:firstLine="0"/>
        <w:rPr>
          <w:spacing w:val="-6"/>
          <w:sz w:val="22"/>
          <w:szCs w:val="22"/>
          <w:lang w:val="ro-RO"/>
        </w:rPr>
      </w:pPr>
      <w:r>
        <w:rPr>
          <w:spacing w:val="-6"/>
          <w:sz w:val="22"/>
          <w:szCs w:val="22"/>
          <w:lang w:val="ro-RO"/>
        </w:rPr>
        <w:t>Orice referire în documentele achiziției care indică o anumită origine, sursă, producție, producător, un procedeu special, un standard, un normativ, o marcă de fabrică sau de comerț, un brevet de invenție, o licență de fabricație, sunt menționate doar cu scopul de a identifica cu ușurință tipurile de produs ca și concept și nu au ca efect favorizarea sau eliminarea anumitor operatori economici sau a anumitor produse/servicii. Aceste specificații vor fi considerate ca având mențiunea de „sau echivalent”, iar ofertantul are obligația de a demonstra echivalența produselor/serviciilor ofertate cu cele solicitate, dacă este cazul.</w:t>
      </w:r>
    </w:p>
    <w:p w14:paraId="617F5939">
      <w:pPr>
        <w:spacing w:before="120" w:after="120"/>
        <w:jc w:val="both"/>
        <w:rPr>
          <w:iCs/>
          <w:spacing w:val="-6"/>
          <w:sz w:val="22"/>
          <w:szCs w:val="22"/>
          <w:lang w:val="ro-RO"/>
        </w:rPr>
      </w:pPr>
      <w:r>
        <w:rPr>
          <w:spacing w:val="-6"/>
          <w:sz w:val="22"/>
          <w:szCs w:val="22"/>
          <w:lang w:val="ro-RO"/>
        </w:rPr>
        <w:t>Notă: toate produsele care vor fi furnizate vor fi noi, nu se acceptă produse „second hand” sau tip „refurbished”, în acest sens ofertantul va da o declarație pe proprie răspundere prin care își va asuma livrarea pentru toate pozițiile produselor noi.</w:t>
      </w:r>
    </w:p>
    <w:p w14:paraId="6D8EBBDE">
      <w:pPr>
        <w:pStyle w:val="30"/>
        <w:shd w:val="clear" w:color="auto" w:fill="auto"/>
        <w:spacing w:line="240" w:lineRule="auto"/>
        <w:ind w:left="20" w:right="20" w:firstLine="440"/>
        <w:contextualSpacing/>
        <w:rPr>
          <w:b w:val="0"/>
          <w:bCs w:val="0"/>
          <w:sz w:val="22"/>
          <w:szCs w:val="22"/>
          <w:lang w:val="ro-RO"/>
        </w:rPr>
      </w:pPr>
    </w:p>
    <w:p w14:paraId="17CA1D86">
      <w:pPr>
        <w:pStyle w:val="30"/>
        <w:shd w:val="clear" w:color="auto" w:fill="auto"/>
        <w:spacing w:line="240" w:lineRule="auto"/>
        <w:ind w:left="20" w:right="20" w:firstLine="440"/>
        <w:contextualSpacing/>
        <w:rPr>
          <w:b w:val="0"/>
          <w:bCs w:val="0"/>
          <w:sz w:val="22"/>
          <w:szCs w:val="22"/>
          <w:lang w:val="ro-RO"/>
        </w:rPr>
      </w:pPr>
    </w:p>
    <w:p w14:paraId="3FDB6A7B">
      <w:pPr>
        <w:pStyle w:val="2"/>
        <w:spacing w:line="240" w:lineRule="auto"/>
        <w:rPr>
          <w:sz w:val="22"/>
          <w:szCs w:val="22"/>
          <w:lang w:val="ro-RO"/>
        </w:rPr>
      </w:pPr>
      <w:bookmarkStart w:id="47" w:name="_Toc5547"/>
      <w:r>
        <w:rPr>
          <w:sz w:val="22"/>
          <w:szCs w:val="22"/>
          <w:lang w:val="ro-RO" w:eastAsia="ro-RO" w:bidi="ro-RO"/>
        </w:rPr>
        <w:t>Anexe</w:t>
      </w:r>
      <w:bookmarkEnd w:id="47"/>
    </w:p>
    <w:p w14:paraId="5F90D17D">
      <w:pPr>
        <w:pStyle w:val="56"/>
        <w:numPr>
          <w:ilvl w:val="0"/>
          <w:numId w:val="23"/>
        </w:numPr>
        <w:spacing w:before="120" w:after="120"/>
        <w:jc w:val="both"/>
        <w:rPr>
          <w:iCs/>
          <w:spacing w:val="-6"/>
          <w:sz w:val="22"/>
          <w:szCs w:val="22"/>
        </w:rPr>
      </w:pPr>
      <w:r>
        <w:rPr>
          <w:iCs/>
          <w:spacing w:val="-6"/>
          <w:sz w:val="22"/>
          <w:szCs w:val="22"/>
        </w:rPr>
        <w:t xml:space="preserve">Anexa 1 – Centralizator materiale didactice </w:t>
      </w:r>
    </w:p>
    <w:p w14:paraId="51C19C53">
      <w:pPr>
        <w:spacing w:before="120" w:after="120"/>
        <w:jc w:val="both"/>
        <w:rPr>
          <w:iCs/>
          <w:spacing w:val="-6"/>
          <w:sz w:val="22"/>
          <w:szCs w:val="22"/>
          <w:lang w:val="ro-RO"/>
        </w:rPr>
      </w:pPr>
    </w:p>
    <w:p w14:paraId="0B96F5EC">
      <w:pPr>
        <w:spacing w:before="120" w:after="120"/>
        <w:jc w:val="both"/>
        <w:rPr>
          <w:iCs/>
          <w:spacing w:val="-6"/>
          <w:sz w:val="22"/>
          <w:szCs w:val="22"/>
          <w:lang w:val="ro-RO"/>
        </w:rPr>
      </w:pPr>
    </w:p>
    <w:p w14:paraId="7333CD69">
      <w:pPr>
        <w:spacing w:before="120" w:after="120"/>
        <w:jc w:val="right"/>
        <w:rPr>
          <w:iCs/>
          <w:spacing w:val="-6"/>
          <w:sz w:val="22"/>
          <w:szCs w:val="22"/>
          <w:lang w:val="ro-RO"/>
        </w:rPr>
      </w:pPr>
      <w:r>
        <w:rPr>
          <w:iCs/>
          <w:spacing w:val="-6"/>
          <w:sz w:val="22"/>
          <w:szCs w:val="22"/>
          <w:lang w:val="ro-RO"/>
        </w:rPr>
        <w:t>Manager de proiect</w:t>
      </w:r>
    </w:p>
    <w:p w14:paraId="1DFC76AB">
      <w:pPr>
        <w:spacing w:before="120" w:after="120"/>
        <w:jc w:val="right"/>
      </w:pPr>
      <w:r>
        <w:rPr>
          <w:iCs/>
          <w:spacing w:val="-6"/>
          <w:sz w:val="22"/>
          <w:szCs w:val="22"/>
          <w:lang w:val="ro-RO"/>
        </w:rPr>
        <w:t>Georgica DULVĂR</w:t>
      </w:r>
      <w:bookmarkStart w:id="48" w:name="_Hlk70447454"/>
      <w:bookmarkStart w:id="54" w:name="_GoBack"/>
      <w:bookmarkEnd w:id="54"/>
    </w:p>
    <w:p w14:paraId="796152DD">
      <w:pPr>
        <w:pStyle w:val="28"/>
        <w:shd w:val="clear" w:color="auto" w:fill="auto"/>
        <w:spacing w:line="240" w:lineRule="auto"/>
        <w:ind w:right="20" w:firstLine="0"/>
        <w:contextualSpacing/>
      </w:pPr>
    </w:p>
    <w:p w14:paraId="25B4D2D6">
      <w:pPr>
        <w:pStyle w:val="28"/>
        <w:shd w:val="clear" w:color="auto" w:fill="auto"/>
        <w:spacing w:line="240" w:lineRule="auto"/>
        <w:ind w:right="20" w:firstLine="0"/>
        <w:contextualSpacing/>
      </w:pPr>
    </w:p>
    <w:bookmarkEnd w:id="48"/>
    <w:p w14:paraId="4A1BD402">
      <w:pPr>
        <w:tabs>
          <w:tab w:val="left" w:pos="7187"/>
        </w:tabs>
        <w:contextualSpacing/>
        <w:jc w:val="both"/>
        <w:rPr>
          <w:i/>
          <w:iCs/>
          <w:lang w:val="ro-RO"/>
        </w:rPr>
      </w:pPr>
    </w:p>
    <w:sectPr>
      <w:headerReference r:id="rId4" w:type="first"/>
      <w:headerReference r:id="rId3" w:type="default"/>
      <w:footerReference r:id="rId5" w:type="default"/>
      <w:pgSz w:w="11906" w:h="16838"/>
      <w:pgMar w:top="1440" w:right="1080" w:bottom="1440" w:left="1080" w:header="562" w:footer="567" w:gutter="0"/>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altName w:val="Arial"/>
    <w:panose1 w:val="020B0606020202030204"/>
    <w:charset w:val="00"/>
    <w:family w:val="swiss"/>
    <w:pitch w:val="default"/>
    <w:sig w:usb0="00000000" w:usb1="00000000" w:usb2="00000000" w:usb3="00000000" w:csb0="0000009F" w:csb1="00000000"/>
  </w:font>
  <w:font w:name="Century Schoolbook">
    <w:altName w:val="Segoe Print"/>
    <w:panose1 w:val="02040604050505020304"/>
    <w:charset w:val="00"/>
    <w:family w:val="roman"/>
    <w:pitch w:val="default"/>
    <w:sig w:usb0="00000000" w:usb1="00000000" w:usb2="00000000" w:usb3="00000000" w:csb0="0000009F" w:csb1="00000000"/>
  </w:font>
  <w:font w:name="Corbel">
    <w:panose1 w:val="020B0503020204020204"/>
    <w:charset w:val="00"/>
    <w:family w:val="swiss"/>
    <w:pitch w:val="default"/>
    <w:sig w:usb0="A00002EF" w:usb1="4000A44B" w:usb2="00000000" w:usb3="00000000" w:csb0="2000019F" w:csb1="00000000"/>
  </w:font>
  <w:font w:name="Cambria">
    <w:panose1 w:val="02040503050406030204"/>
    <w:charset w:val="00"/>
    <w:family w:val="roman"/>
    <w:pitch w:val="default"/>
    <w:sig w:usb0="E00006FF" w:usb1="420024FF" w:usb2="02000000" w:usb3="00000000" w:csb0="2000019F" w:csb1="00000000"/>
  </w:font>
  <w:font w:name="Andes">
    <w:altName w:val="Arial"/>
    <w:panose1 w:val="00000000000000000000"/>
    <w:charset w:val="00"/>
    <w:family w:val="swiss"/>
    <w:pitch w:val="default"/>
    <w:sig w:usb0="00000000" w:usb1="00000000" w:usb2="00000000" w:usb3="00000000" w:csb0="00000001" w:csb1="00000000"/>
  </w:font>
  <w:font w:name="Symbol">
    <w:panose1 w:val="05050102010706020507"/>
    <w:charset w:val="02"/>
    <w:family w:val="roman"/>
    <w:pitch w:val="default"/>
    <w:sig w:usb0="00000000" w:usb1="00000000" w:usb2="00000000" w:usb3="00000000" w:csb0="80000000" w:csb1="00000000"/>
  </w:font>
  <w:font w:name="Trebuchet MS">
    <w:panose1 w:val="020B0603020202020204"/>
    <w:charset w:val="00"/>
    <w:family w:val="swiss"/>
    <w:pitch w:val="default"/>
    <w:sig w:usb0="00000687" w:usb1="00000000" w:usb2="00000000" w:usb3="00000000" w:csb0="200000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0"/>
        <w:szCs w:val="20"/>
      </w:rPr>
      <w:id w:val="-1725369625"/>
      <w:docPartObj>
        <w:docPartGallery w:val="autotext"/>
      </w:docPartObj>
    </w:sdtPr>
    <w:sdtEndPr>
      <w:rPr>
        <w:sz w:val="20"/>
        <w:szCs w:val="20"/>
      </w:rPr>
    </w:sdtEndPr>
    <w:sdtContent>
      <w:sdt>
        <w:sdtPr>
          <w:rPr>
            <w:sz w:val="20"/>
            <w:szCs w:val="20"/>
          </w:rPr>
          <w:id w:val="-1769616900"/>
          <w:docPartObj>
            <w:docPartGallery w:val="autotext"/>
          </w:docPartObj>
        </w:sdtPr>
        <w:sdtEndPr>
          <w:rPr>
            <w:sz w:val="20"/>
            <w:szCs w:val="20"/>
          </w:rPr>
        </w:sdtEndPr>
        <w:sdtContent>
          <w:p w14:paraId="5D6A6F11">
            <w:pPr>
              <w:pStyle w:val="15"/>
              <w:jc w:val="right"/>
              <w:rPr>
                <w:sz w:val="20"/>
                <w:szCs w:val="20"/>
              </w:rPr>
            </w:pPr>
            <w:r>
              <w:rPr>
                <w:sz w:val="20"/>
                <w:szCs w:val="20"/>
                <w:lang w:val="ro-RO"/>
              </w:rPr>
              <w:t xml:space="preserve">Pagină </w:t>
            </w:r>
            <w:r>
              <w:rPr>
                <w:b/>
                <w:bCs/>
                <w:sz w:val="20"/>
                <w:szCs w:val="20"/>
              </w:rPr>
              <w:fldChar w:fldCharType="begin"/>
            </w:r>
            <w:r>
              <w:rPr>
                <w:b/>
                <w:bCs/>
                <w:sz w:val="20"/>
                <w:szCs w:val="20"/>
              </w:rPr>
              <w:instrText xml:space="preserve">PAGE</w:instrText>
            </w:r>
            <w:r>
              <w:rPr>
                <w:b/>
                <w:bCs/>
                <w:sz w:val="20"/>
                <w:szCs w:val="20"/>
              </w:rPr>
              <w:fldChar w:fldCharType="separate"/>
            </w:r>
            <w:r>
              <w:rPr>
                <w:b/>
                <w:bCs/>
                <w:sz w:val="20"/>
                <w:szCs w:val="20"/>
                <w:lang w:val="ro-RO"/>
              </w:rPr>
              <w:t>2</w:t>
            </w:r>
            <w:r>
              <w:rPr>
                <w:b/>
                <w:bCs/>
                <w:sz w:val="20"/>
                <w:szCs w:val="20"/>
              </w:rPr>
              <w:fldChar w:fldCharType="end"/>
            </w:r>
            <w:r>
              <w:rPr>
                <w:sz w:val="20"/>
                <w:szCs w:val="20"/>
                <w:lang w:val="ro-RO"/>
              </w:rPr>
              <w:t xml:space="preserve"> din </w:t>
            </w:r>
            <w:r>
              <w:rPr>
                <w:b/>
                <w:bCs/>
                <w:sz w:val="20"/>
                <w:szCs w:val="20"/>
              </w:rPr>
              <w:fldChar w:fldCharType="begin"/>
            </w:r>
            <w:r>
              <w:rPr>
                <w:b/>
                <w:bCs/>
                <w:sz w:val="20"/>
                <w:szCs w:val="20"/>
              </w:rPr>
              <w:instrText xml:space="preserve">NUMPAGES</w:instrText>
            </w:r>
            <w:r>
              <w:rPr>
                <w:b/>
                <w:bCs/>
                <w:sz w:val="20"/>
                <w:szCs w:val="20"/>
              </w:rPr>
              <w:fldChar w:fldCharType="separate"/>
            </w:r>
            <w:r>
              <w:rPr>
                <w:b/>
                <w:bCs/>
                <w:sz w:val="20"/>
                <w:szCs w:val="20"/>
                <w:lang w:val="ro-RO"/>
              </w:rPr>
              <w:t>2</w:t>
            </w:r>
            <w:r>
              <w:rPr>
                <w:b/>
                <w:bCs/>
                <w:sz w:val="20"/>
                <w:szCs w:val="20"/>
              </w:rPr>
              <w:fldChar w:fldCharType="end"/>
            </w:r>
          </w:p>
        </w:sdtContent>
      </w:sdt>
    </w:sdtContent>
  </w:sdt>
  <w:p w14:paraId="407E7EAB"/>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8989BC">
    <w:pPr>
      <w:pStyle w:val="10"/>
      <w:spacing w:line="14" w:lineRule="auto"/>
      <w:rPr>
        <w:sz w:val="20"/>
      </w:rPr>
    </w:pPr>
    <w:bookmarkStart w:id="52" w:name="_Hlk159367753"/>
    <w:bookmarkStart w:id="53" w:name="_Hlk159367754"/>
    <w:r>
      <w:rPr>
        <w:lang w:val="en-US" w:eastAsia="en-US"/>
      </w:rPr>
      <w:drawing>
        <wp:anchor distT="0" distB="0" distL="0" distR="0" simplePos="0" relativeHeight="251660288" behindDoc="1" locked="0" layoutInCell="1" allowOverlap="1">
          <wp:simplePos x="0" y="0"/>
          <wp:positionH relativeFrom="page">
            <wp:posOffset>965835</wp:posOffset>
          </wp:positionH>
          <wp:positionV relativeFrom="page">
            <wp:posOffset>172085</wp:posOffset>
          </wp:positionV>
          <wp:extent cx="5748655" cy="701040"/>
          <wp:effectExtent l="0" t="0" r="0" b="0"/>
          <wp:wrapNone/>
          <wp:docPr id="734765877" name="Picture 1622686048"/>
          <wp:cNvGraphicFramePr/>
          <a:graphic xmlns:a="http://schemas.openxmlformats.org/drawingml/2006/main">
            <a:graphicData uri="http://schemas.openxmlformats.org/drawingml/2006/picture">
              <pic:pic xmlns:pic="http://schemas.openxmlformats.org/drawingml/2006/picture">
                <pic:nvPicPr>
                  <pic:cNvPr id="734765877" name="Picture 1622686048"/>
                  <pic:cNvPicPr/>
                </pic:nvPicPr>
                <pic:blipFill>
                  <a:blip r:embed="rId1" cstate="print"/>
                  <a:stretch>
                    <a:fillRect/>
                  </a:stretch>
                </pic:blipFill>
                <pic:spPr>
                  <a:xfrm>
                    <a:off x="0" y="0"/>
                    <a:ext cx="5748528" cy="701040"/>
                  </a:xfrm>
                  <a:prstGeom prst="rect">
                    <a:avLst/>
                  </a:prstGeom>
                </pic:spPr>
              </pic:pic>
            </a:graphicData>
          </a:graphic>
        </wp:anchor>
      </w:drawing>
    </w:r>
  </w:p>
  <w:bookmarkEnd w:id="52"/>
  <w:bookmarkEnd w:id="53"/>
  <w:p w14:paraId="7D75F6BE">
    <w:pPr>
      <w:pStyle w:val="1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6961F">
    <w:pPr>
      <w:pStyle w:val="10"/>
      <w:spacing w:line="14" w:lineRule="auto"/>
      <w:rPr>
        <w:lang w:val="en-US" w:eastAsia="en-US"/>
      </w:rPr>
    </w:pPr>
    <w:bookmarkStart w:id="49" w:name="_Hlk22218988"/>
    <w:bookmarkStart w:id="50" w:name="_Hlk22636335"/>
    <w:bookmarkStart w:id="51" w:name="_Hlk22636334"/>
  </w:p>
  <w:p w14:paraId="1BC9FB88">
    <w:pPr>
      <w:pStyle w:val="10"/>
      <w:spacing w:line="14" w:lineRule="auto"/>
      <w:rPr>
        <w:sz w:val="20"/>
      </w:rPr>
    </w:pPr>
    <w:r>
      <w:rPr>
        <w:lang w:val="en-US" w:eastAsia="en-US"/>
      </w:rPr>
      <w:drawing>
        <wp:anchor distT="0" distB="0" distL="0" distR="0" simplePos="0" relativeHeight="251659264" behindDoc="1" locked="0" layoutInCell="1" allowOverlap="1">
          <wp:simplePos x="0" y="0"/>
          <wp:positionH relativeFrom="page">
            <wp:posOffset>1086485</wp:posOffset>
          </wp:positionH>
          <wp:positionV relativeFrom="page">
            <wp:posOffset>172085</wp:posOffset>
          </wp:positionV>
          <wp:extent cx="5723890" cy="701040"/>
          <wp:effectExtent l="0" t="0" r="0" b="4445"/>
          <wp:wrapNone/>
          <wp:docPr id="16" name="Image 16"/>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 cstate="print"/>
                  <a:srcRect r="420"/>
                  <a:stretch>
                    <a:fillRect/>
                  </a:stretch>
                </pic:blipFill>
                <pic:spPr>
                  <a:xfrm>
                    <a:off x="0" y="0"/>
                    <a:ext cx="5724413" cy="701040"/>
                  </a:xfrm>
                  <a:prstGeom prst="rect">
                    <a:avLst/>
                  </a:prstGeom>
                  <a:ln>
                    <a:noFill/>
                  </a:ln>
                </pic:spPr>
              </pic:pic>
            </a:graphicData>
          </a:graphic>
        </wp:anchor>
      </w:drawing>
    </w:r>
  </w:p>
  <w:p w14:paraId="2EC342D6">
    <w:pPr>
      <w:pStyle w:val="16"/>
      <w:tabs>
        <w:tab w:val="left" w:pos="6450"/>
      </w:tabs>
      <w:spacing w:line="276" w:lineRule="auto"/>
      <w:jc w:val="center"/>
    </w:pPr>
  </w:p>
  <w:bookmarkEnd w:id="49"/>
  <w:bookmarkEnd w:id="50"/>
  <w:bookmarkEnd w:id="51"/>
  <w:p w14:paraId="13E7C896">
    <w:pPr>
      <w:pStyle w:val="16"/>
    </w:pPr>
  </w:p>
  <w:p w14:paraId="3E06E8DA">
    <w:pPr>
      <w:pStyle w:val="16"/>
      <w:rPr>
        <w:lang w:val="ro-RO"/>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AE30BD"/>
    <w:multiLevelType w:val="singleLevel"/>
    <w:tmpl w:val="92AE30BD"/>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0456757D"/>
    <w:multiLevelType w:val="multilevel"/>
    <w:tmpl w:val="0456757D"/>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046E1291"/>
    <w:multiLevelType w:val="multilevel"/>
    <w:tmpl w:val="046E1291"/>
    <w:lvl w:ilvl="0" w:tentative="0">
      <w:start w:val="1"/>
      <w:numFmt w:val="decimal"/>
      <w:pStyle w:val="2"/>
      <w:lvlText w:val="%1."/>
      <w:lvlJc w:val="left"/>
      <w:pPr>
        <w:ind w:left="380" w:hanging="360"/>
      </w:pPr>
      <w:rPr>
        <w:rFonts w:hint="default"/>
      </w:rPr>
    </w:lvl>
    <w:lvl w:ilvl="1" w:tentative="0">
      <w:start w:val="1"/>
      <w:numFmt w:val="decimal"/>
      <w:pStyle w:val="4"/>
      <w:isLgl/>
      <w:lvlText w:val="%1.%2"/>
      <w:lvlJc w:val="left"/>
      <w:pPr>
        <w:ind w:left="850" w:hanging="390"/>
      </w:pPr>
      <w:rPr>
        <w:rFonts w:hint="default"/>
      </w:rPr>
    </w:lvl>
    <w:lvl w:ilvl="2" w:tentative="0">
      <w:start w:val="1"/>
      <w:numFmt w:val="decimal"/>
      <w:pStyle w:val="6"/>
      <w:isLgl/>
      <w:lvlText w:val="%1.%2.%3"/>
      <w:lvlJc w:val="left"/>
      <w:pPr>
        <w:ind w:left="1620" w:hanging="720"/>
      </w:pPr>
      <w:rPr>
        <w:rFonts w:hint="default"/>
      </w:rPr>
    </w:lvl>
    <w:lvl w:ilvl="3" w:tentative="0">
      <w:start w:val="1"/>
      <w:numFmt w:val="decimal"/>
      <w:isLgl/>
      <w:lvlText w:val="%1.%2.%3.%4"/>
      <w:lvlJc w:val="left"/>
      <w:pPr>
        <w:ind w:left="2060" w:hanging="720"/>
      </w:pPr>
      <w:rPr>
        <w:rFonts w:hint="default"/>
      </w:rPr>
    </w:lvl>
    <w:lvl w:ilvl="4" w:tentative="0">
      <w:start w:val="1"/>
      <w:numFmt w:val="decimal"/>
      <w:isLgl/>
      <w:lvlText w:val="%1.%2.%3.%4.%5"/>
      <w:lvlJc w:val="left"/>
      <w:pPr>
        <w:ind w:left="2860" w:hanging="1080"/>
      </w:pPr>
      <w:rPr>
        <w:rFonts w:hint="default"/>
      </w:rPr>
    </w:lvl>
    <w:lvl w:ilvl="5" w:tentative="0">
      <w:start w:val="1"/>
      <w:numFmt w:val="decimal"/>
      <w:isLgl/>
      <w:lvlText w:val="%1.%2.%3.%4.%5.%6"/>
      <w:lvlJc w:val="left"/>
      <w:pPr>
        <w:ind w:left="3300" w:hanging="1080"/>
      </w:pPr>
      <w:rPr>
        <w:rFonts w:hint="default"/>
      </w:rPr>
    </w:lvl>
    <w:lvl w:ilvl="6" w:tentative="0">
      <w:start w:val="1"/>
      <w:numFmt w:val="decimal"/>
      <w:isLgl/>
      <w:lvlText w:val="%1.%2.%3.%4.%5.%6.%7"/>
      <w:lvlJc w:val="left"/>
      <w:pPr>
        <w:ind w:left="4100" w:hanging="1440"/>
      </w:pPr>
      <w:rPr>
        <w:rFonts w:hint="default"/>
      </w:rPr>
    </w:lvl>
    <w:lvl w:ilvl="7" w:tentative="0">
      <w:start w:val="1"/>
      <w:numFmt w:val="decimal"/>
      <w:isLgl/>
      <w:lvlText w:val="%1.%2.%3.%4.%5.%6.%7.%8"/>
      <w:lvlJc w:val="left"/>
      <w:pPr>
        <w:ind w:left="4540" w:hanging="1440"/>
      </w:pPr>
      <w:rPr>
        <w:rFonts w:hint="default"/>
      </w:rPr>
    </w:lvl>
    <w:lvl w:ilvl="8" w:tentative="0">
      <w:start w:val="1"/>
      <w:numFmt w:val="decimal"/>
      <w:isLgl/>
      <w:lvlText w:val="%1.%2.%3.%4.%5.%6.%7.%8.%9"/>
      <w:lvlJc w:val="left"/>
      <w:pPr>
        <w:ind w:left="4980" w:hanging="1440"/>
      </w:pPr>
      <w:rPr>
        <w:rFonts w:hint="default"/>
      </w:rPr>
    </w:lvl>
  </w:abstractNum>
  <w:abstractNum w:abstractNumId="3">
    <w:nsid w:val="0EE17453"/>
    <w:multiLevelType w:val="multilevel"/>
    <w:tmpl w:val="0EE17453"/>
    <w:lvl w:ilvl="0" w:tentative="0">
      <w:start w:val="1"/>
      <w:numFmt w:val="bullet"/>
      <w:lvlText w:val="-"/>
      <w:lvlJc w:val="left"/>
      <w:pPr>
        <w:ind w:left="720" w:hanging="360"/>
      </w:pPr>
      <w:rPr>
        <w:rFonts w:hint="default" w:ascii="Arial" w:hAnsi="Aria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0EE51D33"/>
    <w:multiLevelType w:val="multilevel"/>
    <w:tmpl w:val="0EE51D33"/>
    <w:lvl w:ilvl="0" w:tentative="0">
      <w:start w:val="3"/>
      <w:numFmt w:val="bullet"/>
      <w:lvlText w:val="-"/>
      <w:lvlJc w:val="left"/>
      <w:pPr>
        <w:ind w:left="720" w:hanging="360"/>
      </w:pPr>
      <w:rPr>
        <w:rFonts w:hint="default" w:ascii="Calibri" w:hAnsi="Calibri" w:cs="Calibri" w:eastAsiaTheme="minorHAnsi"/>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10B92C77"/>
    <w:multiLevelType w:val="multilevel"/>
    <w:tmpl w:val="10B92C77"/>
    <w:lvl w:ilvl="0" w:tentative="0">
      <w:start w:val="1"/>
      <w:numFmt w:val="bullet"/>
      <w:lvlText w:val=""/>
      <w:lvlJc w:val="left"/>
      <w:pPr>
        <w:ind w:left="603"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12BB397D"/>
    <w:multiLevelType w:val="multilevel"/>
    <w:tmpl w:val="12BB397D"/>
    <w:lvl w:ilvl="0" w:tentative="0">
      <w:start w:val="1"/>
      <w:numFmt w:val="bullet"/>
      <w:lvlText w:val=""/>
      <w:lvlJc w:val="left"/>
      <w:pPr>
        <w:ind w:left="21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7">
    <w:nsid w:val="21043BE8"/>
    <w:multiLevelType w:val="multilevel"/>
    <w:tmpl w:val="21043BE8"/>
    <w:lvl w:ilvl="0" w:tentative="0">
      <w:start w:val="1"/>
      <w:numFmt w:val="lowerRoman"/>
      <w:lvlText w:val="%1."/>
      <w:lvlJc w:val="right"/>
      <w:pPr>
        <w:ind w:left="786" w:hanging="360"/>
      </w:pPr>
      <w:rPr>
        <w:rFonts w:hint="default"/>
        <w:i w:val="0"/>
      </w:rPr>
    </w:lvl>
    <w:lvl w:ilvl="1" w:tentative="0">
      <w:start w:val="1"/>
      <w:numFmt w:val="bullet"/>
      <w:lvlText w:val="o"/>
      <w:lvlJc w:val="left"/>
      <w:pPr>
        <w:ind w:left="1506" w:hanging="360"/>
      </w:pPr>
      <w:rPr>
        <w:rFonts w:hint="default" w:ascii="Courier New" w:hAnsi="Courier New" w:cs="Courier New"/>
      </w:rPr>
    </w:lvl>
    <w:lvl w:ilvl="2" w:tentative="0">
      <w:start w:val="1"/>
      <w:numFmt w:val="bullet"/>
      <w:lvlText w:val=""/>
      <w:lvlJc w:val="left"/>
      <w:pPr>
        <w:ind w:left="2226" w:hanging="360"/>
      </w:pPr>
      <w:rPr>
        <w:rFonts w:hint="default" w:ascii="Wingdings" w:hAnsi="Wingdings"/>
      </w:rPr>
    </w:lvl>
    <w:lvl w:ilvl="3" w:tentative="0">
      <w:start w:val="1"/>
      <w:numFmt w:val="bullet"/>
      <w:lvlText w:val=""/>
      <w:lvlJc w:val="left"/>
      <w:pPr>
        <w:ind w:left="2946" w:hanging="360"/>
      </w:pPr>
      <w:rPr>
        <w:rFonts w:hint="default" w:ascii="Symbol" w:hAnsi="Symbol"/>
      </w:rPr>
    </w:lvl>
    <w:lvl w:ilvl="4" w:tentative="0">
      <w:start w:val="1"/>
      <w:numFmt w:val="bullet"/>
      <w:lvlText w:val="o"/>
      <w:lvlJc w:val="left"/>
      <w:pPr>
        <w:ind w:left="3666" w:hanging="360"/>
      </w:pPr>
      <w:rPr>
        <w:rFonts w:hint="default" w:ascii="Courier New" w:hAnsi="Courier New" w:cs="Courier New"/>
      </w:rPr>
    </w:lvl>
    <w:lvl w:ilvl="5" w:tentative="0">
      <w:start w:val="1"/>
      <w:numFmt w:val="bullet"/>
      <w:lvlText w:val=""/>
      <w:lvlJc w:val="left"/>
      <w:pPr>
        <w:ind w:left="4386" w:hanging="360"/>
      </w:pPr>
      <w:rPr>
        <w:rFonts w:hint="default" w:ascii="Wingdings" w:hAnsi="Wingdings"/>
      </w:rPr>
    </w:lvl>
    <w:lvl w:ilvl="6" w:tentative="0">
      <w:start w:val="1"/>
      <w:numFmt w:val="bullet"/>
      <w:lvlText w:val=""/>
      <w:lvlJc w:val="left"/>
      <w:pPr>
        <w:ind w:left="5106" w:hanging="360"/>
      </w:pPr>
      <w:rPr>
        <w:rFonts w:hint="default" w:ascii="Symbol" w:hAnsi="Symbol"/>
      </w:rPr>
    </w:lvl>
    <w:lvl w:ilvl="7" w:tentative="0">
      <w:start w:val="1"/>
      <w:numFmt w:val="bullet"/>
      <w:lvlText w:val="o"/>
      <w:lvlJc w:val="left"/>
      <w:pPr>
        <w:ind w:left="5826" w:hanging="360"/>
      </w:pPr>
      <w:rPr>
        <w:rFonts w:hint="default" w:ascii="Courier New" w:hAnsi="Courier New" w:cs="Courier New"/>
      </w:rPr>
    </w:lvl>
    <w:lvl w:ilvl="8" w:tentative="0">
      <w:start w:val="1"/>
      <w:numFmt w:val="bullet"/>
      <w:lvlText w:val=""/>
      <w:lvlJc w:val="left"/>
      <w:pPr>
        <w:ind w:left="6546" w:hanging="360"/>
      </w:pPr>
      <w:rPr>
        <w:rFonts w:hint="default" w:ascii="Wingdings" w:hAnsi="Wingdings"/>
      </w:rPr>
    </w:lvl>
  </w:abstractNum>
  <w:abstractNum w:abstractNumId="8">
    <w:nsid w:val="24C41EFB"/>
    <w:multiLevelType w:val="multilevel"/>
    <w:tmpl w:val="24C41EFB"/>
    <w:lvl w:ilvl="0" w:tentative="0">
      <w:start w:val="1"/>
      <w:numFmt w:val="lowerRoman"/>
      <w:lvlText w:val="%1."/>
      <w:lvlJc w:val="right"/>
      <w:pPr>
        <w:ind w:left="720" w:hanging="360"/>
      </w:pPr>
      <w:rPr>
        <w:rFonts w:hint="default"/>
      </w:rPr>
    </w:lvl>
    <w:lvl w:ilvl="1" w:tentative="0">
      <w:start w:val="1"/>
      <w:numFmt w:val="lowerLetter"/>
      <w:lvlText w:val="%2."/>
      <w:lvlJc w:val="left"/>
      <w:pPr>
        <w:ind w:left="1440" w:hanging="360"/>
      </w:pPr>
      <w:rPr>
        <w:rFonts w:cs="Times New Roman"/>
      </w:rPr>
    </w:lvl>
    <w:lvl w:ilvl="2" w:tentative="0">
      <w:start w:val="1"/>
      <w:numFmt w:val="lowerRoman"/>
      <w:lvlText w:val="%3."/>
      <w:lvlJc w:val="right"/>
      <w:pPr>
        <w:ind w:left="2160" w:hanging="180"/>
      </w:pPr>
      <w:rPr>
        <w:rFonts w:cs="Times New Roman"/>
      </w:rPr>
    </w:lvl>
    <w:lvl w:ilvl="3" w:tentative="0">
      <w:start w:val="1"/>
      <w:numFmt w:val="decimal"/>
      <w:lvlText w:val="%4."/>
      <w:lvlJc w:val="left"/>
      <w:pPr>
        <w:ind w:left="2880" w:hanging="360"/>
      </w:pPr>
      <w:rPr>
        <w:rFonts w:cs="Times New Roman"/>
      </w:rPr>
    </w:lvl>
    <w:lvl w:ilvl="4" w:tentative="0">
      <w:start w:val="1"/>
      <w:numFmt w:val="lowerLetter"/>
      <w:lvlText w:val="%5."/>
      <w:lvlJc w:val="left"/>
      <w:pPr>
        <w:ind w:left="3600" w:hanging="360"/>
      </w:pPr>
      <w:rPr>
        <w:rFonts w:cs="Times New Roman"/>
      </w:rPr>
    </w:lvl>
    <w:lvl w:ilvl="5" w:tentative="0">
      <w:start w:val="1"/>
      <w:numFmt w:val="lowerRoman"/>
      <w:lvlText w:val="%6."/>
      <w:lvlJc w:val="right"/>
      <w:pPr>
        <w:ind w:left="4320" w:hanging="180"/>
      </w:pPr>
      <w:rPr>
        <w:rFonts w:cs="Times New Roman"/>
      </w:rPr>
    </w:lvl>
    <w:lvl w:ilvl="6" w:tentative="0">
      <w:start w:val="1"/>
      <w:numFmt w:val="decimal"/>
      <w:lvlText w:val="%7."/>
      <w:lvlJc w:val="left"/>
      <w:pPr>
        <w:ind w:left="5040" w:hanging="360"/>
      </w:pPr>
      <w:rPr>
        <w:rFonts w:cs="Times New Roman"/>
      </w:rPr>
    </w:lvl>
    <w:lvl w:ilvl="7" w:tentative="0">
      <w:start w:val="1"/>
      <w:numFmt w:val="lowerLetter"/>
      <w:lvlText w:val="%8."/>
      <w:lvlJc w:val="left"/>
      <w:pPr>
        <w:ind w:left="5760" w:hanging="360"/>
      </w:pPr>
      <w:rPr>
        <w:rFonts w:cs="Times New Roman"/>
      </w:rPr>
    </w:lvl>
    <w:lvl w:ilvl="8" w:tentative="0">
      <w:start w:val="1"/>
      <w:numFmt w:val="lowerRoman"/>
      <w:lvlText w:val="%9."/>
      <w:lvlJc w:val="right"/>
      <w:pPr>
        <w:ind w:left="6480" w:hanging="180"/>
      </w:pPr>
      <w:rPr>
        <w:rFonts w:cs="Times New Roman"/>
      </w:rPr>
    </w:lvl>
  </w:abstractNum>
  <w:abstractNum w:abstractNumId="9">
    <w:nsid w:val="2E55344A"/>
    <w:multiLevelType w:val="multilevel"/>
    <w:tmpl w:val="2E55344A"/>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
    <w:nsid w:val="39E96E51"/>
    <w:multiLevelType w:val="multilevel"/>
    <w:tmpl w:val="39E96E51"/>
    <w:lvl w:ilvl="0" w:tentative="0">
      <w:start w:val="1"/>
      <w:numFmt w:val="lowerLetter"/>
      <w:lvlText w:val="%1)"/>
      <w:lvlJc w:val="left"/>
      <w:pPr>
        <w:ind w:left="720" w:hanging="360"/>
      </w:pPr>
    </w:lvl>
    <w:lvl w:ilvl="1" w:tentative="0">
      <w:start w:val="1"/>
      <w:numFmt w:val="bullet"/>
      <w:lvlText w:val=""/>
      <w:lvlJc w:val="left"/>
      <w:pPr>
        <w:ind w:left="1440" w:hanging="360"/>
      </w:pPr>
      <w:rPr>
        <w:rFonts w:hint="default" w:ascii="Wingdings" w:hAnsi="Wingdings"/>
      </w:r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3A1279A6"/>
    <w:multiLevelType w:val="multilevel"/>
    <w:tmpl w:val="3A1279A6"/>
    <w:lvl w:ilvl="0" w:tentative="0">
      <w:start w:val="1"/>
      <w:numFmt w:val="lowerLetter"/>
      <w:lvlText w:val="%1)"/>
      <w:lvlJc w:val="left"/>
      <w:pPr>
        <w:ind w:left="786" w:hanging="360"/>
      </w:pPr>
      <w:rPr>
        <w:rFonts w:hint="default" w:ascii="Times New Roman" w:hAnsi="Times New Roman" w:cs="Times New Roman"/>
        <w:i w:val="0"/>
      </w:rPr>
    </w:lvl>
    <w:lvl w:ilvl="1" w:tentative="0">
      <w:start w:val="1"/>
      <w:numFmt w:val="bullet"/>
      <w:lvlText w:val=""/>
      <w:lvlJc w:val="left"/>
      <w:pPr>
        <w:ind w:left="1866" w:hanging="720"/>
      </w:pPr>
      <w:rPr>
        <w:rFonts w:hint="default" w:ascii="Wingdings" w:hAnsi="Wingdings"/>
      </w:rPr>
    </w:lvl>
    <w:lvl w:ilvl="2" w:tentative="0">
      <w:start w:val="1"/>
      <w:numFmt w:val="lowerRoman"/>
      <w:lvlText w:val="%3."/>
      <w:lvlJc w:val="left"/>
      <w:pPr>
        <w:ind w:left="2586" w:hanging="720"/>
      </w:pPr>
      <w:rPr>
        <w:rFonts w:hint="default"/>
      </w:rPr>
    </w:lvl>
    <w:lvl w:ilvl="3" w:tentative="0">
      <w:start w:val="1"/>
      <w:numFmt w:val="bullet"/>
      <w:lvlText w:val=""/>
      <w:lvlJc w:val="left"/>
      <w:pPr>
        <w:ind w:left="2946" w:hanging="360"/>
      </w:pPr>
      <w:rPr>
        <w:rFonts w:hint="default" w:ascii="Symbol" w:hAnsi="Symbol"/>
      </w:rPr>
    </w:lvl>
    <w:lvl w:ilvl="4" w:tentative="0">
      <w:start w:val="1"/>
      <w:numFmt w:val="bullet"/>
      <w:lvlText w:val="o"/>
      <w:lvlJc w:val="left"/>
      <w:pPr>
        <w:ind w:left="3666" w:hanging="360"/>
      </w:pPr>
      <w:rPr>
        <w:rFonts w:hint="default" w:ascii="Courier New" w:hAnsi="Courier New" w:cs="Courier New"/>
      </w:rPr>
    </w:lvl>
    <w:lvl w:ilvl="5" w:tentative="0">
      <w:start w:val="1"/>
      <w:numFmt w:val="bullet"/>
      <w:lvlText w:val=""/>
      <w:lvlJc w:val="left"/>
      <w:pPr>
        <w:ind w:left="4386" w:hanging="360"/>
      </w:pPr>
      <w:rPr>
        <w:rFonts w:hint="default" w:ascii="Wingdings" w:hAnsi="Wingdings"/>
      </w:rPr>
    </w:lvl>
    <w:lvl w:ilvl="6" w:tentative="0">
      <w:start w:val="1"/>
      <w:numFmt w:val="bullet"/>
      <w:lvlText w:val=""/>
      <w:lvlJc w:val="left"/>
      <w:pPr>
        <w:ind w:left="5106" w:hanging="360"/>
      </w:pPr>
      <w:rPr>
        <w:rFonts w:hint="default" w:ascii="Symbol" w:hAnsi="Symbol"/>
      </w:rPr>
    </w:lvl>
    <w:lvl w:ilvl="7" w:tentative="0">
      <w:start w:val="1"/>
      <w:numFmt w:val="bullet"/>
      <w:lvlText w:val="o"/>
      <w:lvlJc w:val="left"/>
      <w:pPr>
        <w:ind w:left="5826" w:hanging="360"/>
      </w:pPr>
      <w:rPr>
        <w:rFonts w:hint="default" w:ascii="Courier New" w:hAnsi="Courier New" w:cs="Courier New"/>
      </w:rPr>
    </w:lvl>
    <w:lvl w:ilvl="8" w:tentative="0">
      <w:start w:val="1"/>
      <w:numFmt w:val="bullet"/>
      <w:lvlText w:val=""/>
      <w:lvlJc w:val="left"/>
      <w:pPr>
        <w:ind w:left="6546" w:hanging="360"/>
      </w:pPr>
      <w:rPr>
        <w:rFonts w:hint="default" w:ascii="Wingdings" w:hAnsi="Wingdings"/>
      </w:rPr>
    </w:lvl>
  </w:abstractNum>
  <w:abstractNum w:abstractNumId="12">
    <w:nsid w:val="3FE920F7"/>
    <w:multiLevelType w:val="multilevel"/>
    <w:tmpl w:val="3FE920F7"/>
    <w:lvl w:ilvl="0" w:tentative="0">
      <w:start w:val="0"/>
      <w:numFmt w:val="bullet"/>
      <w:lvlText w:val="-"/>
      <w:lvlJc w:val="left"/>
      <w:pPr>
        <w:ind w:left="740" w:hanging="360"/>
      </w:pPr>
      <w:rPr>
        <w:rFonts w:hint="default" w:ascii="Corbel" w:hAnsi="Corbel" w:eastAsia="Corbel" w:cs="Corbel"/>
        <w:b w:val="0"/>
        <w:bCs w:val="0"/>
        <w:i w:val="0"/>
        <w:iCs w:val="0"/>
        <w:spacing w:val="0"/>
        <w:w w:val="100"/>
        <w:sz w:val="22"/>
        <w:szCs w:val="22"/>
        <w:lang w:val="ro-RO" w:eastAsia="en-US" w:bidi="ar-SA"/>
      </w:rPr>
    </w:lvl>
    <w:lvl w:ilvl="1" w:tentative="0">
      <w:start w:val="0"/>
      <w:numFmt w:val="bullet"/>
      <w:lvlText w:val="•"/>
      <w:lvlJc w:val="left"/>
      <w:pPr>
        <w:ind w:left="2056" w:hanging="360"/>
      </w:pPr>
      <w:rPr>
        <w:rFonts w:hint="default"/>
        <w:lang w:val="ro-RO" w:eastAsia="en-US" w:bidi="ar-SA"/>
      </w:rPr>
    </w:lvl>
    <w:lvl w:ilvl="2" w:tentative="0">
      <w:start w:val="0"/>
      <w:numFmt w:val="bullet"/>
      <w:lvlText w:val="•"/>
      <w:lvlJc w:val="left"/>
      <w:pPr>
        <w:ind w:left="3376" w:hanging="360"/>
      </w:pPr>
      <w:rPr>
        <w:rFonts w:hint="default"/>
        <w:lang w:val="ro-RO" w:eastAsia="en-US" w:bidi="ar-SA"/>
      </w:rPr>
    </w:lvl>
    <w:lvl w:ilvl="3" w:tentative="0">
      <w:start w:val="0"/>
      <w:numFmt w:val="bullet"/>
      <w:lvlText w:val="•"/>
      <w:lvlJc w:val="left"/>
      <w:pPr>
        <w:ind w:left="4696" w:hanging="360"/>
      </w:pPr>
      <w:rPr>
        <w:rFonts w:hint="default"/>
        <w:lang w:val="ro-RO" w:eastAsia="en-US" w:bidi="ar-SA"/>
      </w:rPr>
    </w:lvl>
    <w:lvl w:ilvl="4" w:tentative="0">
      <w:start w:val="0"/>
      <w:numFmt w:val="bullet"/>
      <w:lvlText w:val="•"/>
      <w:lvlJc w:val="left"/>
      <w:pPr>
        <w:ind w:left="6016" w:hanging="360"/>
      </w:pPr>
      <w:rPr>
        <w:rFonts w:hint="default"/>
        <w:lang w:val="ro-RO" w:eastAsia="en-US" w:bidi="ar-SA"/>
      </w:rPr>
    </w:lvl>
    <w:lvl w:ilvl="5" w:tentative="0">
      <w:start w:val="0"/>
      <w:numFmt w:val="bullet"/>
      <w:lvlText w:val="•"/>
      <w:lvlJc w:val="left"/>
      <w:pPr>
        <w:ind w:left="7336" w:hanging="360"/>
      </w:pPr>
      <w:rPr>
        <w:rFonts w:hint="default"/>
        <w:lang w:val="ro-RO" w:eastAsia="en-US" w:bidi="ar-SA"/>
      </w:rPr>
    </w:lvl>
    <w:lvl w:ilvl="6" w:tentative="0">
      <w:start w:val="0"/>
      <w:numFmt w:val="bullet"/>
      <w:lvlText w:val="•"/>
      <w:lvlJc w:val="left"/>
      <w:pPr>
        <w:ind w:left="8656" w:hanging="360"/>
      </w:pPr>
      <w:rPr>
        <w:rFonts w:hint="default"/>
        <w:lang w:val="ro-RO" w:eastAsia="en-US" w:bidi="ar-SA"/>
      </w:rPr>
    </w:lvl>
    <w:lvl w:ilvl="7" w:tentative="0">
      <w:start w:val="0"/>
      <w:numFmt w:val="bullet"/>
      <w:lvlText w:val="•"/>
      <w:lvlJc w:val="left"/>
      <w:pPr>
        <w:ind w:left="9976" w:hanging="360"/>
      </w:pPr>
      <w:rPr>
        <w:rFonts w:hint="default"/>
        <w:lang w:val="ro-RO" w:eastAsia="en-US" w:bidi="ar-SA"/>
      </w:rPr>
    </w:lvl>
    <w:lvl w:ilvl="8" w:tentative="0">
      <w:start w:val="0"/>
      <w:numFmt w:val="bullet"/>
      <w:lvlText w:val="•"/>
      <w:lvlJc w:val="left"/>
      <w:pPr>
        <w:ind w:left="11296" w:hanging="360"/>
      </w:pPr>
      <w:rPr>
        <w:rFonts w:hint="default"/>
        <w:lang w:val="ro-RO" w:eastAsia="en-US" w:bidi="ar-SA"/>
      </w:rPr>
    </w:lvl>
  </w:abstractNum>
  <w:abstractNum w:abstractNumId="13">
    <w:nsid w:val="48B754AB"/>
    <w:multiLevelType w:val="multilevel"/>
    <w:tmpl w:val="48B754AB"/>
    <w:lvl w:ilvl="0" w:tentative="0">
      <w:start w:val="1"/>
      <w:numFmt w:val="decimal"/>
      <w:lvlText w:val="%1"/>
      <w:lvlJc w:val="left"/>
      <w:pPr>
        <w:ind w:left="432" w:hanging="432"/>
      </w:pPr>
      <w:rPr>
        <w:b/>
      </w:rPr>
    </w:lvl>
    <w:lvl w:ilvl="1" w:tentative="0">
      <w:start w:val="1"/>
      <w:numFmt w:val="decimal"/>
      <w:lvlText w:val="%1.%2"/>
      <w:lvlJc w:val="left"/>
      <w:pPr>
        <w:ind w:left="576" w:hanging="576"/>
      </w:pPr>
      <w:rPr>
        <w:b/>
        <w:i w:val="0"/>
        <w:iCs/>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b/>
        <w:i w:val="0"/>
        <w:sz w:val="22"/>
        <w:szCs w:val="22"/>
      </w:r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4">
    <w:nsid w:val="4AF84A59"/>
    <w:multiLevelType w:val="multilevel"/>
    <w:tmpl w:val="4AF84A59"/>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5">
    <w:nsid w:val="4E171789"/>
    <w:multiLevelType w:val="multilevel"/>
    <w:tmpl w:val="4E171789"/>
    <w:lvl w:ilvl="0" w:tentative="0">
      <w:start w:val="1"/>
      <w:numFmt w:val="bullet"/>
      <w:lvlText w:val=""/>
      <w:lvlJc w:val="left"/>
      <w:rPr>
        <w:rFonts w:hint="default" w:ascii="Symbol" w:hAnsi="Symbol"/>
        <w:b w:val="0"/>
        <w:bCs w:val="0"/>
        <w:i w:val="0"/>
        <w:iCs w:val="0"/>
        <w:smallCaps w:val="0"/>
        <w:strike w:val="0"/>
        <w:color w:val="000000"/>
        <w:spacing w:val="0"/>
        <w:w w:val="100"/>
        <w:position w:val="0"/>
        <w:sz w:val="22"/>
        <w:szCs w:val="22"/>
        <w:u w:val="none"/>
        <w:lang w:val="ro-RO" w:eastAsia="ro-RO" w:bidi="ro-RO"/>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6">
    <w:nsid w:val="52C750EF"/>
    <w:multiLevelType w:val="multilevel"/>
    <w:tmpl w:val="52C750EF"/>
    <w:lvl w:ilvl="0" w:tentative="0">
      <w:start w:val="1"/>
      <w:numFmt w:val="bullet"/>
      <w:lvlText w:val="-"/>
      <w:lvlJc w:val="left"/>
      <w:pPr>
        <w:ind w:left="720" w:hanging="360"/>
      </w:pPr>
      <w:rPr>
        <w:rFonts w:hint="default" w:ascii="Trebuchet MS" w:hAnsi="Trebuchet MS" w:cs="Trebuchet M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7">
    <w:nsid w:val="54383DE2"/>
    <w:multiLevelType w:val="multilevel"/>
    <w:tmpl w:val="54383DE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
    <w:nsid w:val="69083432"/>
    <w:multiLevelType w:val="multilevel"/>
    <w:tmpl w:val="69083432"/>
    <w:lvl w:ilvl="0" w:tentative="0">
      <w:start w:val="1"/>
      <w:numFmt w:val="bullet"/>
      <w:lvlText w:val="-"/>
      <w:lvlJc w:val="left"/>
      <w:pPr>
        <w:ind w:left="720" w:hanging="360"/>
      </w:pPr>
      <w:rPr>
        <w:rFonts w:hint="default" w:ascii="Arial" w:hAnsi="Arial"/>
      </w:rPr>
    </w:lvl>
    <w:lvl w:ilvl="1" w:tentative="0">
      <w:start w:val="1"/>
      <w:numFmt w:val="bullet"/>
      <w:lvlText w:val="-"/>
      <w:lvlJc w:val="left"/>
      <w:pPr>
        <w:ind w:left="1440" w:hanging="360"/>
      </w:pPr>
      <w:rPr>
        <w:rFonts w:hint="default" w:ascii="Arial" w:hAnsi="Arial"/>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9">
    <w:nsid w:val="691A5EE7"/>
    <w:multiLevelType w:val="multilevel"/>
    <w:tmpl w:val="691A5EE7"/>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
    <w:nsid w:val="6F5E338C"/>
    <w:multiLevelType w:val="multilevel"/>
    <w:tmpl w:val="6F5E338C"/>
    <w:lvl w:ilvl="0" w:tentative="0">
      <w:start w:val="1"/>
      <w:numFmt w:val="lowerLetter"/>
      <w:lvlText w:val="%1)"/>
      <w:lvlJc w:val="left"/>
      <w:pPr>
        <w:ind w:left="786" w:hanging="360"/>
      </w:pPr>
      <w:rPr>
        <w:rFonts w:hint="default" w:ascii="Times New Roman" w:hAnsi="Times New Roman" w:cs="Times New Roman"/>
        <w:i w:val="0"/>
      </w:rPr>
    </w:lvl>
    <w:lvl w:ilvl="1" w:tentative="0">
      <w:start w:val="1"/>
      <w:numFmt w:val="lowerLetter"/>
      <w:lvlText w:val="%2."/>
      <w:lvlJc w:val="left"/>
      <w:pPr>
        <w:ind w:left="1506" w:hanging="360"/>
      </w:pPr>
      <w:rPr>
        <w:rFonts w:hint="default"/>
      </w:rPr>
    </w:lvl>
    <w:lvl w:ilvl="2" w:tentative="0">
      <w:start w:val="1"/>
      <w:numFmt w:val="bullet"/>
      <w:lvlText w:val=""/>
      <w:lvlJc w:val="left"/>
      <w:pPr>
        <w:ind w:left="2226" w:hanging="360"/>
      </w:pPr>
      <w:rPr>
        <w:rFonts w:hint="default" w:ascii="Wingdings" w:hAnsi="Wingdings"/>
      </w:rPr>
    </w:lvl>
    <w:lvl w:ilvl="3" w:tentative="0">
      <w:start w:val="1"/>
      <w:numFmt w:val="bullet"/>
      <w:lvlText w:val=""/>
      <w:lvlJc w:val="left"/>
      <w:pPr>
        <w:ind w:left="2946" w:hanging="360"/>
      </w:pPr>
      <w:rPr>
        <w:rFonts w:hint="default" w:ascii="Symbol" w:hAnsi="Symbol"/>
      </w:rPr>
    </w:lvl>
    <w:lvl w:ilvl="4" w:tentative="0">
      <w:start w:val="1"/>
      <w:numFmt w:val="bullet"/>
      <w:lvlText w:val="o"/>
      <w:lvlJc w:val="left"/>
      <w:pPr>
        <w:ind w:left="3666" w:hanging="360"/>
      </w:pPr>
      <w:rPr>
        <w:rFonts w:hint="default" w:ascii="Courier New" w:hAnsi="Courier New" w:cs="Courier New"/>
      </w:rPr>
    </w:lvl>
    <w:lvl w:ilvl="5" w:tentative="0">
      <w:start w:val="1"/>
      <w:numFmt w:val="bullet"/>
      <w:lvlText w:val=""/>
      <w:lvlJc w:val="left"/>
      <w:pPr>
        <w:ind w:left="4386" w:hanging="360"/>
      </w:pPr>
      <w:rPr>
        <w:rFonts w:hint="default" w:ascii="Wingdings" w:hAnsi="Wingdings"/>
      </w:rPr>
    </w:lvl>
    <w:lvl w:ilvl="6" w:tentative="0">
      <w:start w:val="1"/>
      <w:numFmt w:val="bullet"/>
      <w:lvlText w:val=""/>
      <w:lvlJc w:val="left"/>
      <w:pPr>
        <w:ind w:left="5106" w:hanging="360"/>
      </w:pPr>
      <w:rPr>
        <w:rFonts w:hint="default" w:ascii="Symbol" w:hAnsi="Symbol"/>
      </w:rPr>
    </w:lvl>
    <w:lvl w:ilvl="7" w:tentative="0">
      <w:start w:val="1"/>
      <w:numFmt w:val="bullet"/>
      <w:lvlText w:val="o"/>
      <w:lvlJc w:val="left"/>
      <w:pPr>
        <w:ind w:left="5826" w:hanging="360"/>
      </w:pPr>
      <w:rPr>
        <w:rFonts w:hint="default" w:ascii="Courier New" w:hAnsi="Courier New" w:cs="Courier New"/>
      </w:rPr>
    </w:lvl>
    <w:lvl w:ilvl="8" w:tentative="0">
      <w:start w:val="1"/>
      <w:numFmt w:val="bullet"/>
      <w:lvlText w:val=""/>
      <w:lvlJc w:val="left"/>
      <w:pPr>
        <w:ind w:left="6546" w:hanging="360"/>
      </w:pPr>
      <w:rPr>
        <w:rFonts w:hint="default" w:ascii="Wingdings" w:hAnsi="Wingdings"/>
      </w:rPr>
    </w:lvl>
  </w:abstractNum>
  <w:abstractNum w:abstractNumId="21">
    <w:nsid w:val="75DD6B14"/>
    <w:multiLevelType w:val="multilevel"/>
    <w:tmpl w:val="75DD6B14"/>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
    <w:nsid w:val="7EAC60BA"/>
    <w:multiLevelType w:val="multilevel"/>
    <w:tmpl w:val="7EAC60BA"/>
    <w:lvl w:ilvl="0" w:tentative="0">
      <w:start w:val="1"/>
      <w:numFmt w:val="bullet"/>
      <w:lvlText w:val="-"/>
      <w:lvlJc w:val="left"/>
      <w:pPr>
        <w:ind w:left="720" w:hanging="360"/>
      </w:pPr>
      <w:rPr>
        <w:rFonts w:hint="default" w:ascii="Times New Roman" w:hAnsi="Times New Roman" w:eastAsia="Times New Roman"/>
        <w:sz w:val="24"/>
        <w:szCs w:val="24"/>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2"/>
  </w:num>
  <w:num w:numId="2">
    <w:abstractNumId w:val="12"/>
  </w:num>
  <w:num w:numId="3">
    <w:abstractNumId w:val="13"/>
  </w:num>
  <w:num w:numId="4">
    <w:abstractNumId w:val="17"/>
  </w:num>
  <w:num w:numId="5">
    <w:abstractNumId w:val="4"/>
  </w:num>
  <w:num w:numId="6">
    <w:abstractNumId w:val="1"/>
  </w:num>
  <w:num w:numId="7">
    <w:abstractNumId w:val="5"/>
  </w:num>
  <w:num w:numId="8">
    <w:abstractNumId w:val="18"/>
  </w:num>
  <w:num w:numId="9">
    <w:abstractNumId w:val="8"/>
  </w:num>
  <w:num w:numId="10">
    <w:abstractNumId w:val="20"/>
  </w:num>
  <w:num w:numId="11">
    <w:abstractNumId w:val="9"/>
  </w:num>
  <w:num w:numId="12">
    <w:abstractNumId w:val="10"/>
  </w:num>
  <w:num w:numId="13">
    <w:abstractNumId w:val="19"/>
  </w:num>
  <w:num w:numId="14">
    <w:abstractNumId w:val="21"/>
  </w:num>
  <w:num w:numId="15">
    <w:abstractNumId w:val="6"/>
  </w:num>
  <w:num w:numId="16">
    <w:abstractNumId w:val="0"/>
  </w:num>
  <w:num w:numId="17">
    <w:abstractNumId w:val="15"/>
  </w:num>
  <w:num w:numId="18">
    <w:abstractNumId w:val="7"/>
  </w:num>
  <w:num w:numId="19">
    <w:abstractNumId w:val="11"/>
  </w:num>
  <w:num w:numId="20">
    <w:abstractNumId w:val="3"/>
  </w:num>
  <w:num w:numId="21">
    <w:abstractNumId w:val="22"/>
  </w:num>
  <w:num w:numId="22">
    <w:abstractNumId w:val="16"/>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E4B"/>
    <w:rsid w:val="00001B88"/>
    <w:rsid w:val="00002620"/>
    <w:rsid w:val="0001641F"/>
    <w:rsid w:val="000168EC"/>
    <w:rsid w:val="0002564F"/>
    <w:rsid w:val="00025D61"/>
    <w:rsid w:val="000306D4"/>
    <w:rsid w:val="0003163C"/>
    <w:rsid w:val="00031AC8"/>
    <w:rsid w:val="00031C7E"/>
    <w:rsid w:val="00034537"/>
    <w:rsid w:val="00037B0A"/>
    <w:rsid w:val="0004128B"/>
    <w:rsid w:val="00041790"/>
    <w:rsid w:val="00046378"/>
    <w:rsid w:val="00054D14"/>
    <w:rsid w:val="00057214"/>
    <w:rsid w:val="00057A03"/>
    <w:rsid w:val="000619B2"/>
    <w:rsid w:val="00075E4B"/>
    <w:rsid w:val="00082998"/>
    <w:rsid w:val="00086AC9"/>
    <w:rsid w:val="00086C51"/>
    <w:rsid w:val="00092202"/>
    <w:rsid w:val="00094557"/>
    <w:rsid w:val="00095D8D"/>
    <w:rsid w:val="00096573"/>
    <w:rsid w:val="000974EA"/>
    <w:rsid w:val="000A21D8"/>
    <w:rsid w:val="000B59DE"/>
    <w:rsid w:val="000B7E8B"/>
    <w:rsid w:val="000C0B97"/>
    <w:rsid w:val="000C0BC6"/>
    <w:rsid w:val="000C1287"/>
    <w:rsid w:val="000C1870"/>
    <w:rsid w:val="000C1F1C"/>
    <w:rsid w:val="000C2251"/>
    <w:rsid w:val="000E0549"/>
    <w:rsid w:val="000E0F37"/>
    <w:rsid w:val="000E2528"/>
    <w:rsid w:val="000E4EE0"/>
    <w:rsid w:val="000F5B01"/>
    <w:rsid w:val="000F6143"/>
    <w:rsid w:val="00100D8E"/>
    <w:rsid w:val="0011725E"/>
    <w:rsid w:val="00125104"/>
    <w:rsid w:val="00126826"/>
    <w:rsid w:val="001301B4"/>
    <w:rsid w:val="001305E1"/>
    <w:rsid w:val="00137C1C"/>
    <w:rsid w:val="00142F98"/>
    <w:rsid w:val="00145283"/>
    <w:rsid w:val="001473FE"/>
    <w:rsid w:val="001501F1"/>
    <w:rsid w:val="001545CD"/>
    <w:rsid w:val="00154D5B"/>
    <w:rsid w:val="00155B15"/>
    <w:rsid w:val="00180C04"/>
    <w:rsid w:val="00180C17"/>
    <w:rsid w:val="00182F25"/>
    <w:rsid w:val="001961C8"/>
    <w:rsid w:val="001A1BCA"/>
    <w:rsid w:val="001A7490"/>
    <w:rsid w:val="001D1E59"/>
    <w:rsid w:val="001E0792"/>
    <w:rsid w:val="001E447E"/>
    <w:rsid w:val="001E4B37"/>
    <w:rsid w:val="001E6716"/>
    <w:rsid w:val="00201A03"/>
    <w:rsid w:val="0020258E"/>
    <w:rsid w:val="002025F4"/>
    <w:rsid w:val="0020568B"/>
    <w:rsid w:val="00210CD3"/>
    <w:rsid w:val="00214F6A"/>
    <w:rsid w:val="00215AF9"/>
    <w:rsid w:val="00230E5E"/>
    <w:rsid w:val="00233A79"/>
    <w:rsid w:val="00255991"/>
    <w:rsid w:val="00256366"/>
    <w:rsid w:val="00270E78"/>
    <w:rsid w:val="00273022"/>
    <w:rsid w:val="00284590"/>
    <w:rsid w:val="00290635"/>
    <w:rsid w:val="00293A56"/>
    <w:rsid w:val="002973AA"/>
    <w:rsid w:val="002A25F7"/>
    <w:rsid w:val="002B1A28"/>
    <w:rsid w:val="002B3D23"/>
    <w:rsid w:val="002B560C"/>
    <w:rsid w:val="002C359A"/>
    <w:rsid w:val="002C5F58"/>
    <w:rsid w:val="002C62A9"/>
    <w:rsid w:val="002D3002"/>
    <w:rsid w:val="002D5703"/>
    <w:rsid w:val="002E7DC8"/>
    <w:rsid w:val="002F45CA"/>
    <w:rsid w:val="002F7574"/>
    <w:rsid w:val="00301C0C"/>
    <w:rsid w:val="00303E19"/>
    <w:rsid w:val="00306A7B"/>
    <w:rsid w:val="00331CB5"/>
    <w:rsid w:val="0033385D"/>
    <w:rsid w:val="00336D00"/>
    <w:rsid w:val="0034192E"/>
    <w:rsid w:val="003457B4"/>
    <w:rsid w:val="00353FA7"/>
    <w:rsid w:val="003545D3"/>
    <w:rsid w:val="0036212D"/>
    <w:rsid w:val="00364D53"/>
    <w:rsid w:val="003704E8"/>
    <w:rsid w:val="00375129"/>
    <w:rsid w:val="00382207"/>
    <w:rsid w:val="00391501"/>
    <w:rsid w:val="0039673E"/>
    <w:rsid w:val="003A1DBA"/>
    <w:rsid w:val="003C017A"/>
    <w:rsid w:val="003C62D0"/>
    <w:rsid w:val="003D793D"/>
    <w:rsid w:val="003F0D22"/>
    <w:rsid w:val="003F213C"/>
    <w:rsid w:val="00401189"/>
    <w:rsid w:val="00405EFD"/>
    <w:rsid w:val="00406B6A"/>
    <w:rsid w:val="00407AE6"/>
    <w:rsid w:val="004146C2"/>
    <w:rsid w:val="00414A66"/>
    <w:rsid w:val="00414D07"/>
    <w:rsid w:val="00423F09"/>
    <w:rsid w:val="004263AD"/>
    <w:rsid w:val="0042710B"/>
    <w:rsid w:val="0043572A"/>
    <w:rsid w:val="00435973"/>
    <w:rsid w:val="00446A7A"/>
    <w:rsid w:val="0046629F"/>
    <w:rsid w:val="00466910"/>
    <w:rsid w:val="00467A38"/>
    <w:rsid w:val="004766E7"/>
    <w:rsid w:val="004845B2"/>
    <w:rsid w:val="00485F00"/>
    <w:rsid w:val="00486A83"/>
    <w:rsid w:val="00492C91"/>
    <w:rsid w:val="004943E9"/>
    <w:rsid w:val="004943FD"/>
    <w:rsid w:val="00494A4C"/>
    <w:rsid w:val="004A01E0"/>
    <w:rsid w:val="004A3736"/>
    <w:rsid w:val="004A6469"/>
    <w:rsid w:val="004A6AA2"/>
    <w:rsid w:val="004A7FFE"/>
    <w:rsid w:val="004B3AF7"/>
    <w:rsid w:val="004B6B4C"/>
    <w:rsid w:val="004C0D08"/>
    <w:rsid w:val="004C1C95"/>
    <w:rsid w:val="004C7E6C"/>
    <w:rsid w:val="004D5032"/>
    <w:rsid w:val="004E012F"/>
    <w:rsid w:val="004E3F68"/>
    <w:rsid w:val="004F1F53"/>
    <w:rsid w:val="004F23CA"/>
    <w:rsid w:val="0050181F"/>
    <w:rsid w:val="00505326"/>
    <w:rsid w:val="00510CC9"/>
    <w:rsid w:val="00511E3A"/>
    <w:rsid w:val="00511F6F"/>
    <w:rsid w:val="00514AF5"/>
    <w:rsid w:val="005246A0"/>
    <w:rsid w:val="0052674B"/>
    <w:rsid w:val="0053124D"/>
    <w:rsid w:val="00531DBB"/>
    <w:rsid w:val="00532753"/>
    <w:rsid w:val="00535FD8"/>
    <w:rsid w:val="00537224"/>
    <w:rsid w:val="0054063D"/>
    <w:rsid w:val="00544A31"/>
    <w:rsid w:val="0055041F"/>
    <w:rsid w:val="00554018"/>
    <w:rsid w:val="00561B8C"/>
    <w:rsid w:val="00572114"/>
    <w:rsid w:val="0057342C"/>
    <w:rsid w:val="0057602D"/>
    <w:rsid w:val="00580115"/>
    <w:rsid w:val="0058169B"/>
    <w:rsid w:val="0059193E"/>
    <w:rsid w:val="005964E4"/>
    <w:rsid w:val="005A068F"/>
    <w:rsid w:val="005A1BA2"/>
    <w:rsid w:val="005A3D9A"/>
    <w:rsid w:val="005C3553"/>
    <w:rsid w:val="005C3FA7"/>
    <w:rsid w:val="005C72B0"/>
    <w:rsid w:val="005D0736"/>
    <w:rsid w:val="005D6BA0"/>
    <w:rsid w:val="005E2631"/>
    <w:rsid w:val="005E374B"/>
    <w:rsid w:val="005E3A1E"/>
    <w:rsid w:val="005E7069"/>
    <w:rsid w:val="0060534E"/>
    <w:rsid w:val="0061293D"/>
    <w:rsid w:val="00612EAB"/>
    <w:rsid w:val="00615909"/>
    <w:rsid w:val="00616CFB"/>
    <w:rsid w:val="0061783E"/>
    <w:rsid w:val="00634391"/>
    <w:rsid w:val="0064057D"/>
    <w:rsid w:val="006474E3"/>
    <w:rsid w:val="00652257"/>
    <w:rsid w:val="00652549"/>
    <w:rsid w:val="00654550"/>
    <w:rsid w:val="006603A2"/>
    <w:rsid w:val="0066075D"/>
    <w:rsid w:val="00667E7A"/>
    <w:rsid w:val="00670BD2"/>
    <w:rsid w:val="00671156"/>
    <w:rsid w:val="00673B27"/>
    <w:rsid w:val="0067457A"/>
    <w:rsid w:val="00674A06"/>
    <w:rsid w:val="006808BD"/>
    <w:rsid w:val="00687BEF"/>
    <w:rsid w:val="0069126D"/>
    <w:rsid w:val="006924CF"/>
    <w:rsid w:val="00692AFF"/>
    <w:rsid w:val="006959A0"/>
    <w:rsid w:val="006A2881"/>
    <w:rsid w:val="006C1078"/>
    <w:rsid w:val="006C7B86"/>
    <w:rsid w:val="006D13B0"/>
    <w:rsid w:val="006D2FBD"/>
    <w:rsid w:val="006D6EA8"/>
    <w:rsid w:val="006D7153"/>
    <w:rsid w:val="006E043C"/>
    <w:rsid w:val="006E2705"/>
    <w:rsid w:val="006E66D8"/>
    <w:rsid w:val="006F0504"/>
    <w:rsid w:val="006F6652"/>
    <w:rsid w:val="00714ED3"/>
    <w:rsid w:val="00716B94"/>
    <w:rsid w:val="00716CA4"/>
    <w:rsid w:val="00720DDF"/>
    <w:rsid w:val="00721B21"/>
    <w:rsid w:val="0072332D"/>
    <w:rsid w:val="007304F1"/>
    <w:rsid w:val="007361CE"/>
    <w:rsid w:val="00740F82"/>
    <w:rsid w:val="00747E7E"/>
    <w:rsid w:val="007532D0"/>
    <w:rsid w:val="00763724"/>
    <w:rsid w:val="00774BA2"/>
    <w:rsid w:val="00774BE1"/>
    <w:rsid w:val="0078404C"/>
    <w:rsid w:val="00784104"/>
    <w:rsid w:val="00790E07"/>
    <w:rsid w:val="0079218B"/>
    <w:rsid w:val="007A3324"/>
    <w:rsid w:val="007B09CC"/>
    <w:rsid w:val="007B2FDC"/>
    <w:rsid w:val="007B337D"/>
    <w:rsid w:val="007C1893"/>
    <w:rsid w:val="007C1E83"/>
    <w:rsid w:val="007C4061"/>
    <w:rsid w:val="007D6B91"/>
    <w:rsid w:val="007E6CEC"/>
    <w:rsid w:val="007F729B"/>
    <w:rsid w:val="008071F3"/>
    <w:rsid w:val="00812AEA"/>
    <w:rsid w:val="00815571"/>
    <w:rsid w:val="00824CF2"/>
    <w:rsid w:val="00834E3C"/>
    <w:rsid w:val="008376A4"/>
    <w:rsid w:val="00846358"/>
    <w:rsid w:val="008466C8"/>
    <w:rsid w:val="00853EFC"/>
    <w:rsid w:val="00855B04"/>
    <w:rsid w:val="008619AA"/>
    <w:rsid w:val="00862AB6"/>
    <w:rsid w:val="00864B20"/>
    <w:rsid w:val="00872123"/>
    <w:rsid w:val="0088528D"/>
    <w:rsid w:val="00886D79"/>
    <w:rsid w:val="00893B0D"/>
    <w:rsid w:val="008A140F"/>
    <w:rsid w:val="008A3BCD"/>
    <w:rsid w:val="008B538C"/>
    <w:rsid w:val="008C0519"/>
    <w:rsid w:val="008C22F4"/>
    <w:rsid w:val="008D175C"/>
    <w:rsid w:val="008D199A"/>
    <w:rsid w:val="008D2D91"/>
    <w:rsid w:val="008D3611"/>
    <w:rsid w:val="008D6F67"/>
    <w:rsid w:val="008E3DBF"/>
    <w:rsid w:val="008F3FA0"/>
    <w:rsid w:val="008F4E8A"/>
    <w:rsid w:val="008F6ACA"/>
    <w:rsid w:val="0090142E"/>
    <w:rsid w:val="00905A7C"/>
    <w:rsid w:val="009110AD"/>
    <w:rsid w:val="00913869"/>
    <w:rsid w:val="009225E4"/>
    <w:rsid w:val="00922F0B"/>
    <w:rsid w:val="00923DFE"/>
    <w:rsid w:val="009301C1"/>
    <w:rsid w:val="00930F1E"/>
    <w:rsid w:val="00932E3F"/>
    <w:rsid w:val="009336C2"/>
    <w:rsid w:val="009336E0"/>
    <w:rsid w:val="00937F8E"/>
    <w:rsid w:val="00941ACC"/>
    <w:rsid w:val="00941C17"/>
    <w:rsid w:val="009460B4"/>
    <w:rsid w:val="009508D5"/>
    <w:rsid w:val="00952993"/>
    <w:rsid w:val="00953164"/>
    <w:rsid w:val="00961111"/>
    <w:rsid w:val="00982BCB"/>
    <w:rsid w:val="00982F52"/>
    <w:rsid w:val="00990990"/>
    <w:rsid w:val="00997BA1"/>
    <w:rsid w:val="009A1E60"/>
    <w:rsid w:val="009A2980"/>
    <w:rsid w:val="009B3FD1"/>
    <w:rsid w:val="009B49BE"/>
    <w:rsid w:val="009B4ED4"/>
    <w:rsid w:val="009B5F8E"/>
    <w:rsid w:val="009B7E31"/>
    <w:rsid w:val="009C318E"/>
    <w:rsid w:val="009C5C96"/>
    <w:rsid w:val="009C7324"/>
    <w:rsid w:val="009D1A1C"/>
    <w:rsid w:val="009D2241"/>
    <w:rsid w:val="009D3C52"/>
    <w:rsid w:val="009D4E80"/>
    <w:rsid w:val="009D596D"/>
    <w:rsid w:val="009D785C"/>
    <w:rsid w:val="009E345A"/>
    <w:rsid w:val="009E4400"/>
    <w:rsid w:val="009F28EE"/>
    <w:rsid w:val="009F6E69"/>
    <w:rsid w:val="00A071DC"/>
    <w:rsid w:val="00A07EAC"/>
    <w:rsid w:val="00A103B4"/>
    <w:rsid w:val="00A120FB"/>
    <w:rsid w:val="00A13BB5"/>
    <w:rsid w:val="00A153C2"/>
    <w:rsid w:val="00A21310"/>
    <w:rsid w:val="00A21CB4"/>
    <w:rsid w:val="00A3675F"/>
    <w:rsid w:val="00A36959"/>
    <w:rsid w:val="00A37656"/>
    <w:rsid w:val="00A432F7"/>
    <w:rsid w:val="00A46D7A"/>
    <w:rsid w:val="00A53679"/>
    <w:rsid w:val="00A56E01"/>
    <w:rsid w:val="00A57FEC"/>
    <w:rsid w:val="00A617FB"/>
    <w:rsid w:val="00A67B6A"/>
    <w:rsid w:val="00A80D06"/>
    <w:rsid w:val="00A81065"/>
    <w:rsid w:val="00A81DE7"/>
    <w:rsid w:val="00A829AE"/>
    <w:rsid w:val="00A90370"/>
    <w:rsid w:val="00A96A8E"/>
    <w:rsid w:val="00AA350E"/>
    <w:rsid w:val="00AB2C8B"/>
    <w:rsid w:val="00AB6A65"/>
    <w:rsid w:val="00AC3A7E"/>
    <w:rsid w:val="00AC43C1"/>
    <w:rsid w:val="00AD15A9"/>
    <w:rsid w:val="00AD7C13"/>
    <w:rsid w:val="00AE1A63"/>
    <w:rsid w:val="00AE489F"/>
    <w:rsid w:val="00AE5957"/>
    <w:rsid w:val="00AE7962"/>
    <w:rsid w:val="00AF0189"/>
    <w:rsid w:val="00AF3BC6"/>
    <w:rsid w:val="00B00E56"/>
    <w:rsid w:val="00B068B9"/>
    <w:rsid w:val="00B07AAA"/>
    <w:rsid w:val="00B11DB5"/>
    <w:rsid w:val="00B13F61"/>
    <w:rsid w:val="00B1560F"/>
    <w:rsid w:val="00B1612A"/>
    <w:rsid w:val="00B2381F"/>
    <w:rsid w:val="00B246B0"/>
    <w:rsid w:val="00B30527"/>
    <w:rsid w:val="00B32B98"/>
    <w:rsid w:val="00B3534D"/>
    <w:rsid w:val="00B3555B"/>
    <w:rsid w:val="00B36C57"/>
    <w:rsid w:val="00B40566"/>
    <w:rsid w:val="00B40C14"/>
    <w:rsid w:val="00B41603"/>
    <w:rsid w:val="00B502E1"/>
    <w:rsid w:val="00B5296F"/>
    <w:rsid w:val="00B56D1A"/>
    <w:rsid w:val="00B61540"/>
    <w:rsid w:val="00B64B7F"/>
    <w:rsid w:val="00B7115B"/>
    <w:rsid w:val="00B73BFB"/>
    <w:rsid w:val="00B7671F"/>
    <w:rsid w:val="00B8311F"/>
    <w:rsid w:val="00BA40A9"/>
    <w:rsid w:val="00BA6A6E"/>
    <w:rsid w:val="00BB35CB"/>
    <w:rsid w:val="00BB5208"/>
    <w:rsid w:val="00BC0111"/>
    <w:rsid w:val="00BC2A5E"/>
    <w:rsid w:val="00BC46FE"/>
    <w:rsid w:val="00BC5975"/>
    <w:rsid w:val="00BD6598"/>
    <w:rsid w:val="00BD6715"/>
    <w:rsid w:val="00BD6823"/>
    <w:rsid w:val="00BE0A73"/>
    <w:rsid w:val="00BE22EC"/>
    <w:rsid w:val="00BE738C"/>
    <w:rsid w:val="00BF06C3"/>
    <w:rsid w:val="00BF0858"/>
    <w:rsid w:val="00BF36C0"/>
    <w:rsid w:val="00BF69DD"/>
    <w:rsid w:val="00BF7AE2"/>
    <w:rsid w:val="00C00432"/>
    <w:rsid w:val="00C01292"/>
    <w:rsid w:val="00C0246E"/>
    <w:rsid w:val="00C10614"/>
    <w:rsid w:val="00C14F4E"/>
    <w:rsid w:val="00C1598E"/>
    <w:rsid w:val="00C161B5"/>
    <w:rsid w:val="00C16BFC"/>
    <w:rsid w:val="00C17552"/>
    <w:rsid w:val="00C33021"/>
    <w:rsid w:val="00C3355F"/>
    <w:rsid w:val="00C338BD"/>
    <w:rsid w:val="00C369CE"/>
    <w:rsid w:val="00C37D7D"/>
    <w:rsid w:val="00C40455"/>
    <w:rsid w:val="00C44E96"/>
    <w:rsid w:val="00C45BA3"/>
    <w:rsid w:val="00C511A6"/>
    <w:rsid w:val="00C553F3"/>
    <w:rsid w:val="00C65F61"/>
    <w:rsid w:val="00C67AF8"/>
    <w:rsid w:val="00C806E7"/>
    <w:rsid w:val="00C8094B"/>
    <w:rsid w:val="00C8785D"/>
    <w:rsid w:val="00C96A47"/>
    <w:rsid w:val="00C97BD3"/>
    <w:rsid w:val="00CA10CC"/>
    <w:rsid w:val="00CA1AE0"/>
    <w:rsid w:val="00CA7B0F"/>
    <w:rsid w:val="00CB50E7"/>
    <w:rsid w:val="00CC4830"/>
    <w:rsid w:val="00CC6DCF"/>
    <w:rsid w:val="00CC7092"/>
    <w:rsid w:val="00CC7BDF"/>
    <w:rsid w:val="00CD1BEF"/>
    <w:rsid w:val="00CD301A"/>
    <w:rsid w:val="00CD305A"/>
    <w:rsid w:val="00CD784F"/>
    <w:rsid w:val="00CE6378"/>
    <w:rsid w:val="00CF2C8A"/>
    <w:rsid w:val="00CF747A"/>
    <w:rsid w:val="00D02151"/>
    <w:rsid w:val="00D05AE9"/>
    <w:rsid w:val="00D12A4E"/>
    <w:rsid w:val="00D21FFE"/>
    <w:rsid w:val="00D24C25"/>
    <w:rsid w:val="00D25068"/>
    <w:rsid w:val="00D27CE8"/>
    <w:rsid w:val="00D30A42"/>
    <w:rsid w:val="00D31808"/>
    <w:rsid w:val="00D321FB"/>
    <w:rsid w:val="00D36B61"/>
    <w:rsid w:val="00D36C6D"/>
    <w:rsid w:val="00D43035"/>
    <w:rsid w:val="00D45D28"/>
    <w:rsid w:val="00D47214"/>
    <w:rsid w:val="00D473CE"/>
    <w:rsid w:val="00D56D84"/>
    <w:rsid w:val="00D63BB8"/>
    <w:rsid w:val="00D671F5"/>
    <w:rsid w:val="00D75F86"/>
    <w:rsid w:val="00DA2DF6"/>
    <w:rsid w:val="00DA2E93"/>
    <w:rsid w:val="00DA47B7"/>
    <w:rsid w:val="00DA4F55"/>
    <w:rsid w:val="00DB25D7"/>
    <w:rsid w:val="00DB3764"/>
    <w:rsid w:val="00DC08B2"/>
    <w:rsid w:val="00DC28DF"/>
    <w:rsid w:val="00DD0A63"/>
    <w:rsid w:val="00DD0B07"/>
    <w:rsid w:val="00DD484E"/>
    <w:rsid w:val="00DD5AC3"/>
    <w:rsid w:val="00DE492F"/>
    <w:rsid w:val="00DE694A"/>
    <w:rsid w:val="00DF08EF"/>
    <w:rsid w:val="00DF4500"/>
    <w:rsid w:val="00DF57D6"/>
    <w:rsid w:val="00DF583B"/>
    <w:rsid w:val="00DF59E3"/>
    <w:rsid w:val="00DF60AE"/>
    <w:rsid w:val="00DF761F"/>
    <w:rsid w:val="00E032D0"/>
    <w:rsid w:val="00E03DFA"/>
    <w:rsid w:val="00E14780"/>
    <w:rsid w:val="00E17862"/>
    <w:rsid w:val="00E21A8E"/>
    <w:rsid w:val="00E21D9B"/>
    <w:rsid w:val="00E22EBD"/>
    <w:rsid w:val="00E25A49"/>
    <w:rsid w:val="00E31BB5"/>
    <w:rsid w:val="00E33C7C"/>
    <w:rsid w:val="00E37BE1"/>
    <w:rsid w:val="00E404F3"/>
    <w:rsid w:val="00E435B1"/>
    <w:rsid w:val="00E62EE9"/>
    <w:rsid w:val="00E67018"/>
    <w:rsid w:val="00E6764F"/>
    <w:rsid w:val="00E678C3"/>
    <w:rsid w:val="00E97BC1"/>
    <w:rsid w:val="00EA5DCB"/>
    <w:rsid w:val="00EB161A"/>
    <w:rsid w:val="00EB286B"/>
    <w:rsid w:val="00EB3024"/>
    <w:rsid w:val="00EB30F0"/>
    <w:rsid w:val="00EC327E"/>
    <w:rsid w:val="00EC7096"/>
    <w:rsid w:val="00ED1B3E"/>
    <w:rsid w:val="00ED5A5B"/>
    <w:rsid w:val="00EE6652"/>
    <w:rsid w:val="00EE6774"/>
    <w:rsid w:val="00EE7DAE"/>
    <w:rsid w:val="00EF086F"/>
    <w:rsid w:val="00EF0DE0"/>
    <w:rsid w:val="00EF0E40"/>
    <w:rsid w:val="00EF1A41"/>
    <w:rsid w:val="00EF1DC5"/>
    <w:rsid w:val="00F03CDA"/>
    <w:rsid w:val="00F051A7"/>
    <w:rsid w:val="00F06EC9"/>
    <w:rsid w:val="00F12EB8"/>
    <w:rsid w:val="00F1303D"/>
    <w:rsid w:val="00F14296"/>
    <w:rsid w:val="00F16D9A"/>
    <w:rsid w:val="00F22250"/>
    <w:rsid w:val="00F25B70"/>
    <w:rsid w:val="00F324C6"/>
    <w:rsid w:val="00F33BEA"/>
    <w:rsid w:val="00F379B8"/>
    <w:rsid w:val="00F42000"/>
    <w:rsid w:val="00F42765"/>
    <w:rsid w:val="00F4414E"/>
    <w:rsid w:val="00F46A64"/>
    <w:rsid w:val="00F473BF"/>
    <w:rsid w:val="00F477EB"/>
    <w:rsid w:val="00F601DA"/>
    <w:rsid w:val="00F60776"/>
    <w:rsid w:val="00F62FB4"/>
    <w:rsid w:val="00F717CD"/>
    <w:rsid w:val="00F75E94"/>
    <w:rsid w:val="00F87FA4"/>
    <w:rsid w:val="00FA0999"/>
    <w:rsid w:val="00FB0226"/>
    <w:rsid w:val="00FC6D54"/>
    <w:rsid w:val="00FD4735"/>
    <w:rsid w:val="00FE3BB8"/>
    <w:rsid w:val="00FF048B"/>
    <w:rsid w:val="00FF07A8"/>
    <w:rsid w:val="034237CD"/>
    <w:rsid w:val="074971FF"/>
    <w:rsid w:val="0F260D7E"/>
    <w:rsid w:val="0F7E2986"/>
    <w:rsid w:val="14717A98"/>
    <w:rsid w:val="154B1BAB"/>
    <w:rsid w:val="17650D6F"/>
    <w:rsid w:val="17C17790"/>
    <w:rsid w:val="1951063F"/>
    <w:rsid w:val="1F6466AF"/>
    <w:rsid w:val="200B635E"/>
    <w:rsid w:val="20FA166B"/>
    <w:rsid w:val="2297770D"/>
    <w:rsid w:val="22C44C37"/>
    <w:rsid w:val="241B3D4C"/>
    <w:rsid w:val="338903B5"/>
    <w:rsid w:val="37FA444A"/>
    <w:rsid w:val="419A0021"/>
    <w:rsid w:val="432E43C4"/>
    <w:rsid w:val="43510DE6"/>
    <w:rsid w:val="44073245"/>
    <w:rsid w:val="46BD0BDC"/>
    <w:rsid w:val="4D1F6361"/>
    <w:rsid w:val="550D6C2F"/>
    <w:rsid w:val="55891082"/>
    <w:rsid w:val="5FCF765E"/>
    <w:rsid w:val="604C22DC"/>
    <w:rsid w:val="60785451"/>
    <w:rsid w:val="60F00C14"/>
    <w:rsid w:val="649C269E"/>
    <w:rsid w:val="64DB629A"/>
    <w:rsid w:val="670B371C"/>
    <w:rsid w:val="67673E36"/>
    <w:rsid w:val="67920838"/>
    <w:rsid w:val="681E098F"/>
    <w:rsid w:val="689457A1"/>
    <w:rsid w:val="68A01131"/>
    <w:rsid w:val="6A077C02"/>
    <w:rsid w:val="6A5C36F1"/>
    <w:rsid w:val="6BE66E12"/>
    <w:rsid w:val="6D4C18CE"/>
    <w:rsid w:val="6DAB7BB4"/>
    <w:rsid w:val="6FB03ECB"/>
    <w:rsid w:val="6FD734CE"/>
    <w:rsid w:val="7152247F"/>
    <w:rsid w:val="721C2418"/>
    <w:rsid w:val="74095071"/>
    <w:rsid w:val="74720C9A"/>
    <w:rsid w:val="7B814C8B"/>
    <w:rsid w:val="7E0C7A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GB" w:eastAsia="en-GB" w:bidi="ar-SA"/>
    </w:rPr>
  </w:style>
  <w:style w:type="paragraph" w:styleId="2">
    <w:name w:val="heading 1"/>
    <w:basedOn w:val="3"/>
    <w:next w:val="1"/>
    <w:link w:val="58"/>
    <w:qFormat/>
    <w:uiPriority w:val="9"/>
    <w:pPr>
      <w:numPr>
        <w:ilvl w:val="0"/>
        <w:numId w:val="1"/>
      </w:numPr>
      <w:shd w:val="clear" w:color="auto" w:fill="auto"/>
      <w:spacing w:before="0" w:after="0" w:line="340" w:lineRule="exact"/>
      <w:contextualSpacing/>
      <w:outlineLvl w:val="0"/>
    </w:pPr>
    <w:rPr>
      <w:sz w:val="24"/>
      <w:szCs w:val="24"/>
    </w:rPr>
  </w:style>
  <w:style w:type="paragraph" w:styleId="4">
    <w:name w:val="heading 2"/>
    <w:basedOn w:val="5"/>
    <w:next w:val="1"/>
    <w:link w:val="59"/>
    <w:unhideWhenUsed/>
    <w:qFormat/>
    <w:uiPriority w:val="9"/>
    <w:pPr>
      <w:keepNext/>
      <w:keepLines/>
      <w:numPr>
        <w:ilvl w:val="1"/>
        <w:numId w:val="1"/>
      </w:numPr>
      <w:shd w:val="clear" w:color="auto" w:fill="auto"/>
      <w:tabs>
        <w:tab w:val="left" w:pos="1176"/>
      </w:tabs>
      <w:spacing w:before="0" w:line="340" w:lineRule="exact"/>
      <w:contextualSpacing/>
      <w:outlineLvl w:val="1"/>
    </w:pPr>
  </w:style>
  <w:style w:type="paragraph" w:styleId="6">
    <w:name w:val="heading 3"/>
    <w:basedOn w:val="5"/>
    <w:next w:val="1"/>
    <w:link w:val="60"/>
    <w:unhideWhenUsed/>
    <w:qFormat/>
    <w:uiPriority w:val="9"/>
    <w:pPr>
      <w:keepNext/>
      <w:keepLines/>
      <w:numPr>
        <w:ilvl w:val="2"/>
        <w:numId w:val="1"/>
      </w:numPr>
      <w:shd w:val="clear" w:color="auto" w:fill="auto"/>
      <w:spacing w:before="0" w:line="340" w:lineRule="exact"/>
      <w:contextualSpacing/>
    </w:pPr>
  </w:style>
  <w:style w:type="character" w:default="1" w:styleId="7">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3">
    <w:name w:val="Body text (7)"/>
    <w:basedOn w:val="1"/>
    <w:link w:val="27"/>
    <w:qFormat/>
    <w:uiPriority w:val="0"/>
    <w:pPr>
      <w:widowControl w:val="0"/>
      <w:shd w:val="clear" w:color="auto" w:fill="FFFFFF"/>
      <w:spacing w:before="360" w:after="240" w:line="0" w:lineRule="atLeast"/>
      <w:ind w:hanging="340"/>
      <w:jc w:val="both"/>
    </w:pPr>
    <w:rPr>
      <w:b/>
      <w:bCs/>
      <w:sz w:val="23"/>
      <w:szCs w:val="23"/>
    </w:rPr>
  </w:style>
  <w:style w:type="paragraph" w:customStyle="1" w:styleId="5">
    <w:name w:val="Heading #3"/>
    <w:basedOn w:val="1"/>
    <w:link w:val="37"/>
    <w:qFormat/>
    <w:uiPriority w:val="0"/>
    <w:pPr>
      <w:widowControl w:val="0"/>
      <w:shd w:val="clear" w:color="auto" w:fill="FFFFFF"/>
      <w:spacing w:before="180" w:line="274" w:lineRule="exact"/>
      <w:ind w:hanging="700"/>
      <w:jc w:val="both"/>
      <w:outlineLvl w:val="2"/>
    </w:pPr>
    <w:rPr>
      <w:b/>
      <w:bCs/>
    </w:rPr>
  </w:style>
  <w:style w:type="paragraph" w:styleId="9">
    <w:name w:val="Balloon Text"/>
    <w:basedOn w:val="1"/>
    <w:link w:val="70"/>
    <w:semiHidden/>
    <w:unhideWhenUsed/>
    <w:qFormat/>
    <w:uiPriority w:val="99"/>
    <w:rPr>
      <w:rFonts w:ascii="Tahoma" w:hAnsi="Tahoma" w:cs="Tahoma"/>
      <w:sz w:val="16"/>
      <w:szCs w:val="16"/>
    </w:rPr>
  </w:style>
  <w:style w:type="paragraph" w:styleId="10">
    <w:name w:val="Body Text"/>
    <w:basedOn w:val="1"/>
    <w:link w:val="65"/>
    <w:unhideWhenUsed/>
    <w:qFormat/>
    <w:uiPriority w:val="1"/>
    <w:pPr>
      <w:spacing w:after="120"/>
    </w:pPr>
  </w:style>
  <w:style w:type="character" w:styleId="11">
    <w:name w:val="annotation reference"/>
    <w:basedOn w:val="7"/>
    <w:semiHidden/>
    <w:unhideWhenUsed/>
    <w:qFormat/>
    <w:uiPriority w:val="99"/>
    <w:rPr>
      <w:sz w:val="16"/>
      <w:szCs w:val="16"/>
    </w:rPr>
  </w:style>
  <w:style w:type="paragraph" w:styleId="12">
    <w:name w:val="annotation text"/>
    <w:basedOn w:val="1"/>
    <w:link w:val="66"/>
    <w:unhideWhenUsed/>
    <w:qFormat/>
    <w:uiPriority w:val="99"/>
    <w:rPr>
      <w:sz w:val="20"/>
      <w:szCs w:val="20"/>
    </w:rPr>
  </w:style>
  <w:style w:type="paragraph" w:styleId="13">
    <w:name w:val="annotation subject"/>
    <w:basedOn w:val="12"/>
    <w:next w:val="12"/>
    <w:link w:val="67"/>
    <w:semiHidden/>
    <w:unhideWhenUsed/>
    <w:qFormat/>
    <w:uiPriority w:val="99"/>
    <w:rPr>
      <w:b/>
      <w:bCs/>
    </w:rPr>
  </w:style>
  <w:style w:type="character" w:styleId="14">
    <w:name w:val="FollowedHyperlink"/>
    <w:basedOn w:val="7"/>
    <w:semiHidden/>
    <w:unhideWhenUsed/>
    <w:qFormat/>
    <w:uiPriority w:val="99"/>
    <w:rPr>
      <w:color w:val="800080" w:themeColor="followedHyperlink"/>
      <w:u w:val="single"/>
      <w14:textFill>
        <w14:solidFill>
          <w14:schemeClr w14:val="folHlink"/>
        </w14:solidFill>
      </w14:textFill>
    </w:rPr>
  </w:style>
  <w:style w:type="paragraph" w:styleId="15">
    <w:name w:val="footer"/>
    <w:basedOn w:val="1"/>
    <w:link w:val="62"/>
    <w:unhideWhenUsed/>
    <w:qFormat/>
    <w:uiPriority w:val="99"/>
    <w:pPr>
      <w:tabs>
        <w:tab w:val="center" w:pos="4680"/>
        <w:tab w:val="right" w:pos="9360"/>
      </w:tabs>
    </w:pPr>
  </w:style>
  <w:style w:type="paragraph" w:styleId="16">
    <w:name w:val="header"/>
    <w:basedOn w:val="1"/>
    <w:link w:val="61"/>
    <w:unhideWhenUsed/>
    <w:qFormat/>
    <w:uiPriority w:val="0"/>
    <w:pPr>
      <w:tabs>
        <w:tab w:val="center" w:pos="4680"/>
        <w:tab w:val="right" w:pos="9360"/>
      </w:tabs>
    </w:pPr>
  </w:style>
  <w:style w:type="character" w:styleId="17">
    <w:name w:val="Hyperlink"/>
    <w:basedOn w:val="7"/>
    <w:qFormat/>
    <w:uiPriority w:val="99"/>
    <w:rPr>
      <w:color w:val="0066CC"/>
      <w:u w:val="single"/>
    </w:rPr>
  </w:style>
  <w:style w:type="paragraph" w:styleId="18">
    <w:name w:val="Normal (Web)"/>
    <w:basedOn w:val="1"/>
    <w:semiHidden/>
    <w:unhideWhenUsed/>
    <w:qFormat/>
    <w:uiPriority w:val="99"/>
    <w:pPr>
      <w:spacing w:before="100" w:beforeAutospacing="1" w:after="100" w:afterAutospacing="1"/>
    </w:pPr>
    <w:rPr>
      <w:lang w:val="en-US" w:eastAsia="en-US"/>
    </w:rPr>
  </w:style>
  <w:style w:type="table" w:styleId="1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0">
    <w:name w:val="toc 1"/>
    <w:basedOn w:val="1"/>
    <w:next w:val="1"/>
    <w:autoRedefine/>
    <w:unhideWhenUsed/>
    <w:qFormat/>
    <w:uiPriority w:val="39"/>
    <w:pPr>
      <w:tabs>
        <w:tab w:val="left" w:pos="450"/>
        <w:tab w:val="right" w:leader="dot" w:pos="9394"/>
      </w:tabs>
      <w:spacing w:before="120" w:after="120"/>
      <w:ind w:left="450" w:hanging="450"/>
    </w:pPr>
    <w:rPr>
      <w:b/>
      <w:bCs/>
      <w:sz w:val="22"/>
      <w:szCs w:val="22"/>
      <w:lang w:val="ro-RO" w:eastAsia="ro-RO" w:bidi="ro-RO"/>
    </w:rPr>
  </w:style>
  <w:style w:type="paragraph" w:styleId="21">
    <w:name w:val="toc 2"/>
    <w:basedOn w:val="1"/>
    <w:next w:val="1"/>
    <w:autoRedefine/>
    <w:unhideWhenUsed/>
    <w:qFormat/>
    <w:uiPriority w:val="39"/>
    <w:pPr>
      <w:tabs>
        <w:tab w:val="left" w:pos="810"/>
        <w:tab w:val="right" w:leader="dot" w:pos="9394"/>
      </w:tabs>
      <w:spacing w:after="100"/>
      <w:ind w:left="1080" w:hanging="860"/>
    </w:pPr>
  </w:style>
  <w:style w:type="paragraph" w:styleId="22">
    <w:name w:val="toc 3"/>
    <w:basedOn w:val="1"/>
    <w:next w:val="1"/>
    <w:autoRedefine/>
    <w:unhideWhenUsed/>
    <w:qFormat/>
    <w:uiPriority w:val="39"/>
    <w:pPr>
      <w:tabs>
        <w:tab w:val="left" w:pos="1440"/>
        <w:tab w:val="right" w:leader="dot" w:pos="12748"/>
      </w:tabs>
      <w:spacing w:after="100"/>
      <w:ind w:left="440"/>
    </w:pPr>
  </w:style>
  <w:style w:type="character" w:customStyle="1" w:styleId="23">
    <w:name w:val="Body text (6)_"/>
    <w:basedOn w:val="7"/>
    <w:link w:val="24"/>
    <w:qFormat/>
    <w:uiPriority w:val="0"/>
    <w:rPr>
      <w:rFonts w:ascii="Times New Roman" w:hAnsi="Times New Roman" w:eastAsia="Times New Roman" w:cs="Times New Roman"/>
      <w:b/>
      <w:bCs/>
      <w:sz w:val="28"/>
      <w:szCs w:val="28"/>
      <w:shd w:val="clear" w:color="auto" w:fill="FFFFFF"/>
    </w:rPr>
  </w:style>
  <w:style w:type="paragraph" w:customStyle="1" w:styleId="24">
    <w:name w:val="Body text (6)"/>
    <w:basedOn w:val="1"/>
    <w:link w:val="23"/>
    <w:qFormat/>
    <w:uiPriority w:val="0"/>
    <w:pPr>
      <w:widowControl w:val="0"/>
      <w:shd w:val="clear" w:color="auto" w:fill="FFFFFF"/>
      <w:spacing w:before="300" w:after="120" w:line="0" w:lineRule="atLeast"/>
      <w:jc w:val="center"/>
    </w:pPr>
    <w:rPr>
      <w:b/>
      <w:bCs/>
      <w:sz w:val="28"/>
      <w:szCs w:val="28"/>
    </w:rPr>
  </w:style>
  <w:style w:type="character" w:customStyle="1" w:styleId="25">
    <w:name w:val="Body text_"/>
    <w:basedOn w:val="7"/>
    <w:link w:val="26"/>
    <w:qFormat/>
    <w:uiPriority w:val="0"/>
    <w:rPr>
      <w:rFonts w:ascii="Times New Roman" w:hAnsi="Times New Roman" w:eastAsia="Times New Roman" w:cs="Times New Roman"/>
      <w:shd w:val="clear" w:color="auto" w:fill="FFFFFF"/>
    </w:rPr>
  </w:style>
  <w:style w:type="paragraph" w:customStyle="1" w:styleId="26">
    <w:name w:val="Corp text2"/>
    <w:basedOn w:val="1"/>
    <w:link w:val="25"/>
    <w:qFormat/>
    <w:uiPriority w:val="0"/>
    <w:pPr>
      <w:widowControl w:val="0"/>
      <w:shd w:val="clear" w:color="auto" w:fill="FFFFFF"/>
      <w:spacing w:line="310" w:lineRule="exact"/>
      <w:ind w:hanging="520"/>
    </w:pPr>
  </w:style>
  <w:style w:type="character" w:customStyle="1" w:styleId="27">
    <w:name w:val="Body text (7)_"/>
    <w:basedOn w:val="7"/>
    <w:link w:val="3"/>
    <w:qFormat/>
    <w:uiPriority w:val="0"/>
    <w:rPr>
      <w:rFonts w:ascii="Times New Roman" w:hAnsi="Times New Roman" w:eastAsia="Times New Roman" w:cs="Times New Roman"/>
      <w:b/>
      <w:bCs/>
      <w:sz w:val="23"/>
      <w:szCs w:val="23"/>
      <w:shd w:val="clear" w:color="auto" w:fill="FFFFFF"/>
    </w:rPr>
  </w:style>
  <w:style w:type="paragraph" w:customStyle="1" w:styleId="28">
    <w:name w:val="Corp text4"/>
    <w:basedOn w:val="1"/>
    <w:qFormat/>
    <w:uiPriority w:val="0"/>
    <w:pPr>
      <w:widowControl w:val="0"/>
      <w:shd w:val="clear" w:color="auto" w:fill="FFFFFF"/>
      <w:spacing w:line="274" w:lineRule="exact"/>
      <w:ind w:hanging="700"/>
      <w:jc w:val="both"/>
    </w:pPr>
    <w:rPr>
      <w:color w:val="000000"/>
      <w:lang w:val="ro-RO" w:eastAsia="ro-RO" w:bidi="ro-RO"/>
    </w:rPr>
  </w:style>
  <w:style w:type="character" w:customStyle="1" w:styleId="29">
    <w:name w:val="Body text (3)_"/>
    <w:basedOn w:val="7"/>
    <w:link w:val="30"/>
    <w:qFormat/>
    <w:uiPriority w:val="0"/>
    <w:rPr>
      <w:rFonts w:ascii="Times New Roman" w:hAnsi="Times New Roman" w:eastAsia="Times New Roman" w:cs="Times New Roman"/>
      <w:b/>
      <w:bCs/>
      <w:shd w:val="clear" w:color="auto" w:fill="FFFFFF"/>
    </w:rPr>
  </w:style>
  <w:style w:type="paragraph" w:customStyle="1" w:styleId="30">
    <w:name w:val="Body text (3)"/>
    <w:basedOn w:val="1"/>
    <w:link w:val="29"/>
    <w:qFormat/>
    <w:uiPriority w:val="0"/>
    <w:pPr>
      <w:widowControl w:val="0"/>
      <w:shd w:val="clear" w:color="auto" w:fill="FFFFFF"/>
      <w:spacing w:line="274" w:lineRule="exact"/>
      <w:jc w:val="both"/>
    </w:pPr>
    <w:rPr>
      <w:b/>
      <w:bCs/>
    </w:rPr>
  </w:style>
  <w:style w:type="character" w:customStyle="1" w:styleId="31">
    <w:name w:val="Body text + Bold"/>
    <w:basedOn w:val="25"/>
    <w:qFormat/>
    <w:uiPriority w:val="0"/>
    <w:rPr>
      <w:rFonts w:ascii="Times New Roman" w:hAnsi="Times New Roman" w:eastAsia="Times New Roman" w:cs="Times New Roman"/>
      <w:b/>
      <w:bCs/>
      <w:color w:val="000000"/>
      <w:spacing w:val="0"/>
      <w:w w:val="100"/>
      <w:position w:val="0"/>
      <w:sz w:val="22"/>
      <w:szCs w:val="22"/>
      <w:u w:val="none"/>
      <w:shd w:val="clear" w:color="auto" w:fill="FFFFFF"/>
      <w:lang w:val="ro-RO" w:eastAsia="ro-RO" w:bidi="ro-RO"/>
    </w:rPr>
  </w:style>
  <w:style w:type="character" w:customStyle="1" w:styleId="32">
    <w:name w:val="Heading #1_"/>
    <w:basedOn w:val="7"/>
    <w:link w:val="33"/>
    <w:qFormat/>
    <w:uiPriority w:val="0"/>
    <w:rPr>
      <w:rFonts w:ascii="Times New Roman" w:hAnsi="Times New Roman" w:eastAsia="Times New Roman" w:cs="Times New Roman"/>
      <w:shd w:val="clear" w:color="auto" w:fill="FFFFFF"/>
    </w:rPr>
  </w:style>
  <w:style w:type="paragraph" w:customStyle="1" w:styleId="33">
    <w:name w:val="Heading #1"/>
    <w:basedOn w:val="1"/>
    <w:link w:val="32"/>
    <w:qFormat/>
    <w:uiPriority w:val="0"/>
    <w:pPr>
      <w:widowControl w:val="0"/>
      <w:shd w:val="clear" w:color="auto" w:fill="FFFFFF"/>
      <w:spacing w:line="274" w:lineRule="exact"/>
      <w:jc w:val="both"/>
      <w:outlineLvl w:val="0"/>
    </w:pPr>
  </w:style>
  <w:style w:type="character" w:customStyle="1" w:styleId="34">
    <w:name w:val="Corp text1"/>
    <w:basedOn w:val="25"/>
    <w:qFormat/>
    <w:uiPriority w:val="0"/>
    <w:rPr>
      <w:rFonts w:ascii="Times New Roman" w:hAnsi="Times New Roman" w:eastAsia="Times New Roman" w:cs="Times New Roman"/>
      <w:color w:val="000000"/>
      <w:spacing w:val="0"/>
      <w:w w:val="100"/>
      <w:position w:val="0"/>
      <w:sz w:val="22"/>
      <w:szCs w:val="22"/>
      <w:u w:val="single"/>
      <w:shd w:val="clear" w:color="auto" w:fill="FFFFFF"/>
      <w:lang w:val="ro-RO" w:eastAsia="ro-RO" w:bidi="ro-RO"/>
    </w:rPr>
  </w:style>
  <w:style w:type="character" w:customStyle="1" w:styleId="35">
    <w:name w:val="Footnote_"/>
    <w:basedOn w:val="7"/>
    <w:link w:val="36"/>
    <w:qFormat/>
    <w:uiPriority w:val="0"/>
    <w:rPr>
      <w:rFonts w:ascii="Times New Roman" w:hAnsi="Times New Roman" w:eastAsia="Times New Roman" w:cs="Times New Roman"/>
      <w:shd w:val="clear" w:color="auto" w:fill="FFFFFF"/>
    </w:rPr>
  </w:style>
  <w:style w:type="paragraph" w:customStyle="1" w:styleId="36">
    <w:name w:val="Footnote"/>
    <w:basedOn w:val="1"/>
    <w:link w:val="35"/>
    <w:qFormat/>
    <w:uiPriority w:val="0"/>
    <w:pPr>
      <w:widowControl w:val="0"/>
      <w:shd w:val="clear" w:color="auto" w:fill="FFFFFF"/>
      <w:spacing w:line="277" w:lineRule="exact"/>
      <w:jc w:val="both"/>
    </w:pPr>
  </w:style>
  <w:style w:type="character" w:customStyle="1" w:styleId="37">
    <w:name w:val="Heading #3_"/>
    <w:basedOn w:val="7"/>
    <w:link w:val="5"/>
    <w:qFormat/>
    <w:uiPriority w:val="0"/>
    <w:rPr>
      <w:rFonts w:ascii="Times New Roman" w:hAnsi="Times New Roman" w:eastAsia="Times New Roman" w:cs="Times New Roman"/>
      <w:b/>
      <w:bCs/>
      <w:shd w:val="clear" w:color="auto" w:fill="FFFFFF"/>
    </w:rPr>
  </w:style>
  <w:style w:type="character" w:customStyle="1" w:styleId="38">
    <w:name w:val="Body text (5)_"/>
    <w:basedOn w:val="7"/>
    <w:link w:val="39"/>
    <w:qFormat/>
    <w:uiPriority w:val="0"/>
    <w:rPr>
      <w:rFonts w:ascii="Arial Narrow" w:hAnsi="Arial Narrow" w:eastAsia="Arial Narrow" w:cs="Arial Narrow"/>
      <w:sz w:val="8"/>
      <w:szCs w:val="8"/>
      <w:shd w:val="clear" w:color="auto" w:fill="FFFFFF"/>
    </w:rPr>
  </w:style>
  <w:style w:type="paragraph" w:customStyle="1" w:styleId="39">
    <w:name w:val="Body text (5)"/>
    <w:basedOn w:val="1"/>
    <w:link w:val="38"/>
    <w:qFormat/>
    <w:uiPriority w:val="0"/>
    <w:pPr>
      <w:widowControl w:val="0"/>
      <w:shd w:val="clear" w:color="auto" w:fill="FFFFFF"/>
      <w:spacing w:line="0" w:lineRule="atLeast"/>
      <w:jc w:val="both"/>
    </w:pPr>
    <w:rPr>
      <w:rFonts w:ascii="Arial Narrow" w:hAnsi="Arial Narrow" w:eastAsia="Arial Narrow" w:cs="Arial Narrow"/>
      <w:sz w:val="8"/>
      <w:szCs w:val="8"/>
    </w:rPr>
  </w:style>
  <w:style w:type="character" w:customStyle="1" w:styleId="40">
    <w:name w:val="Body text (5) + Times New Roman;4;5 pt"/>
    <w:basedOn w:val="38"/>
    <w:qFormat/>
    <w:uiPriority w:val="0"/>
    <w:rPr>
      <w:rFonts w:ascii="Times New Roman" w:hAnsi="Times New Roman" w:eastAsia="Times New Roman" w:cs="Times New Roman"/>
      <w:color w:val="000000"/>
      <w:spacing w:val="0"/>
      <w:w w:val="100"/>
      <w:position w:val="0"/>
      <w:sz w:val="9"/>
      <w:szCs w:val="9"/>
      <w:shd w:val="clear" w:color="auto" w:fill="FFFFFF"/>
    </w:rPr>
  </w:style>
  <w:style w:type="character" w:customStyle="1" w:styleId="41">
    <w:name w:val="Header or footer + Century Schoolbook;10;5 pt;Not Bold"/>
    <w:basedOn w:val="7"/>
    <w:qFormat/>
    <w:uiPriority w:val="0"/>
    <w:rPr>
      <w:rFonts w:ascii="Century Schoolbook" w:hAnsi="Century Schoolbook" w:eastAsia="Century Schoolbook" w:cs="Century Schoolbook"/>
      <w:b/>
      <w:bCs/>
      <w:color w:val="000000"/>
      <w:spacing w:val="0"/>
      <w:w w:val="100"/>
      <w:position w:val="0"/>
      <w:sz w:val="21"/>
      <w:szCs w:val="21"/>
      <w:u w:val="none"/>
      <w:lang w:val="ro-RO" w:eastAsia="ro-RO" w:bidi="ro-RO"/>
    </w:rPr>
  </w:style>
  <w:style w:type="character" w:customStyle="1" w:styleId="42">
    <w:name w:val="Body text (10)_"/>
    <w:basedOn w:val="7"/>
    <w:qFormat/>
    <w:uiPriority w:val="0"/>
    <w:rPr>
      <w:rFonts w:ascii="Times New Roman" w:hAnsi="Times New Roman" w:eastAsia="Times New Roman" w:cs="Times New Roman"/>
      <w:b/>
      <w:bCs/>
      <w:i/>
      <w:iCs/>
      <w:sz w:val="22"/>
      <w:szCs w:val="22"/>
      <w:u w:val="none"/>
    </w:rPr>
  </w:style>
  <w:style w:type="character" w:customStyle="1" w:styleId="43">
    <w:name w:val="Body text (10)"/>
    <w:basedOn w:val="42"/>
    <w:qFormat/>
    <w:uiPriority w:val="0"/>
    <w:rPr>
      <w:rFonts w:ascii="Times New Roman" w:hAnsi="Times New Roman" w:eastAsia="Times New Roman" w:cs="Times New Roman"/>
      <w:color w:val="000000"/>
      <w:spacing w:val="0"/>
      <w:w w:val="100"/>
      <w:position w:val="0"/>
      <w:sz w:val="22"/>
      <w:szCs w:val="22"/>
      <w:u w:val="single"/>
      <w:lang w:val="ro-RO" w:eastAsia="ro-RO" w:bidi="ro-RO"/>
    </w:rPr>
  </w:style>
  <w:style w:type="character" w:customStyle="1" w:styleId="44">
    <w:name w:val="Body text + 10;5 pt"/>
    <w:basedOn w:val="25"/>
    <w:qFormat/>
    <w:uiPriority w:val="0"/>
    <w:rPr>
      <w:rFonts w:ascii="Times New Roman" w:hAnsi="Times New Roman" w:eastAsia="Times New Roman" w:cs="Times New Roman"/>
      <w:color w:val="000000"/>
      <w:spacing w:val="0"/>
      <w:w w:val="100"/>
      <w:position w:val="0"/>
      <w:sz w:val="21"/>
      <w:szCs w:val="21"/>
      <w:u w:val="none"/>
      <w:shd w:val="clear" w:color="auto" w:fill="FFFFFF"/>
      <w:lang w:val="ro-RO" w:eastAsia="ro-RO" w:bidi="ro-RO"/>
    </w:rPr>
  </w:style>
  <w:style w:type="character" w:customStyle="1" w:styleId="45">
    <w:name w:val="Body text (3) + Not Bold"/>
    <w:basedOn w:val="29"/>
    <w:qFormat/>
    <w:uiPriority w:val="0"/>
    <w:rPr>
      <w:rFonts w:ascii="Times New Roman" w:hAnsi="Times New Roman" w:eastAsia="Times New Roman" w:cs="Times New Roman"/>
      <w:color w:val="000000"/>
      <w:spacing w:val="0"/>
      <w:w w:val="100"/>
      <w:position w:val="0"/>
      <w:sz w:val="22"/>
      <w:szCs w:val="22"/>
      <w:u w:val="none"/>
      <w:shd w:val="clear" w:color="auto" w:fill="FFFFFF"/>
      <w:lang w:val="ro-RO" w:eastAsia="ro-RO" w:bidi="ro-RO"/>
    </w:rPr>
  </w:style>
  <w:style w:type="character" w:customStyle="1" w:styleId="46">
    <w:name w:val="Body text (10) + Corbel;18 pt;Not Bold;Not Italic"/>
    <w:basedOn w:val="42"/>
    <w:qFormat/>
    <w:uiPriority w:val="0"/>
    <w:rPr>
      <w:rFonts w:ascii="Corbel" w:hAnsi="Corbel" w:eastAsia="Corbel" w:cs="Corbel"/>
      <w:color w:val="000000"/>
      <w:spacing w:val="0"/>
      <w:w w:val="100"/>
      <w:position w:val="0"/>
      <w:sz w:val="36"/>
      <w:szCs w:val="36"/>
      <w:u w:val="none"/>
      <w:lang w:val="ro-RO" w:eastAsia="ro-RO" w:bidi="ro-RO"/>
    </w:rPr>
  </w:style>
  <w:style w:type="character" w:customStyle="1" w:styleId="47">
    <w:name w:val="Heading #2_"/>
    <w:basedOn w:val="7"/>
    <w:link w:val="48"/>
    <w:qFormat/>
    <w:uiPriority w:val="0"/>
    <w:rPr>
      <w:rFonts w:ascii="Times New Roman" w:hAnsi="Times New Roman" w:eastAsia="Times New Roman" w:cs="Times New Roman"/>
      <w:sz w:val="21"/>
      <w:szCs w:val="21"/>
      <w:shd w:val="clear" w:color="auto" w:fill="FFFFFF"/>
    </w:rPr>
  </w:style>
  <w:style w:type="paragraph" w:customStyle="1" w:styleId="48">
    <w:name w:val="Heading #2"/>
    <w:basedOn w:val="1"/>
    <w:link w:val="47"/>
    <w:qFormat/>
    <w:uiPriority w:val="0"/>
    <w:pPr>
      <w:widowControl w:val="0"/>
      <w:shd w:val="clear" w:color="auto" w:fill="FFFFFF"/>
      <w:spacing w:line="270" w:lineRule="exact"/>
      <w:jc w:val="both"/>
      <w:outlineLvl w:val="1"/>
    </w:pPr>
    <w:rPr>
      <w:sz w:val="21"/>
      <w:szCs w:val="21"/>
    </w:rPr>
  </w:style>
  <w:style w:type="character" w:customStyle="1" w:styleId="49">
    <w:name w:val="Heading #2 + 11 pt"/>
    <w:basedOn w:val="47"/>
    <w:qFormat/>
    <w:uiPriority w:val="0"/>
    <w:rPr>
      <w:rFonts w:ascii="Times New Roman" w:hAnsi="Times New Roman" w:eastAsia="Times New Roman" w:cs="Times New Roman"/>
      <w:color w:val="000000"/>
      <w:spacing w:val="0"/>
      <w:w w:val="100"/>
      <w:position w:val="0"/>
      <w:sz w:val="22"/>
      <w:szCs w:val="22"/>
      <w:shd w:val="clear" w:color="auto" w:fill="FFFFFF"/>
      <w:lang w:val="ro-RO" w:eastAsia="ro-RO" w:bidi="ro-RO"/>
    </w:rPr>
  </w:style>
  <w:style w:type="character" w:customStyle="1" w:styleId="50">
    <w:name w:val="Body text + Bold;Italic"/>
    <w:basedOn w:val="25"/>
    <w:qFormat/>
    <w:uiPriority w:val="0"/>
    <w:rPr>
      <w:rFonts w:ascii="Times New Roman" w:hAnsi="Times New Roman" w:eastAsia="Times New Roman" w:cs="Times New Roman"/>
      <w:b/>
      <w:bCs/>
      <w:i/>
      <w:iCs/>
      <w:color w:val="000000"/>
      <w:spacing w:val="0"/>
      <w:w w:val="100"/>
      <w:position w:val="0"/>
      <w:sz w:val="22"/>
      <w:szCs w:val="22"/>
      <w:u w:val="none"/>
      <w:shd w:val="clear" w:color="auto" w:fill="FFFFFF"/>
      <w:lang w:val="ro-RO" w:eastAsia="ro-RO" w:bidi="ro-RO"/>
    </w:rPr>
  </w:style>
  <w:style w:type="character" w:customStyle="1" w:styleId="51">
    <w:name w:val="Body text + Italic"/>
    <w:basedOn w:val="25"/>
    <w:qFormat/>
    <w:uiPriority w:val="0"/>
    <w:rPr>
      <w:rFonts w:ascii="Times New Roman" w:hAnsi="Times New Roman" w:eastAsia="Times New Roman" w:cs="Times New Roman"/>
      <w:i/>
      <w:iCs/>
      <w:color w:val="000000"/>
      <w:spacing w:val="0"/>
      <w:w w:val="100"/>
      <w:position w:val="0"/>
      <w:sz w:val="22"/>
      <w:szCs w:val="22"/>
      <w:u w:val="none"/>
      <w:shd w:val="clear" w:color="auto" w:fill="FFFFFF"/>
      <w:lang w:val="ro-RO" w:eastAsia="ro-RO" w:bidi="ro-RO"/>
    </w:rPr>
  </w:style>
  <w:style w:type="character" w:customStyle="1" w:styleId="52">
    <w:name w:val="Heading #2 + 11 pt;Bold"/>
    <w:basedOn w:val="47"/>
    <w:qFormat/>
    <w:uiPriority w:val="0"/>
    <w:rPr>
      <w:rFonts w:ascii="Times New Roman" w:hAnsi="Times New Roman" w:eastAsia="Times New Roman" w:cs="Times New Roman"/>
      <w:b/>
      <w:bCs/>
      <w:color w:val="000000"/>
      <w:spacing w:val="0"/>
      <w:w w:val="100"/>
      <w:position w:val="0"/>
      <w:sz w:val="22"/>
      <w:szCs w:val="22"/>
      <w:u w:val="none"/>
      <w:shd w:val="clear" w:color="auto" w:fill="FFFFFF"/>
      <w:lang w:val="ro-RO" w:eastAsia="ro-RO" w:bidi="ro-RO"/>
    </w:rPr>
  </w:style>
  <w:style w:type="character" w:customStyle="1" w:styleId="53">
    <w:name w:val="Body text (11)_"/>
    <w:basedOn w:val="7"/>
    <w:link w:val="54"/>
    <w:qFormat/>
    <w:uiPriority w:val="0"/>
    <w:rPr>
      <w:rFonts w:ascii="Times New Roman" w:hAnsi="Times New Roman" w:eastAsia="Times New Roman" w:cs="Times New Roman"/>
      <w:spacing w:val="10"/>
      <w:sz w:val="19"/>
      <w:szCs w:val="19"/>
      <w:shd w:val="clear" w:color="auto" w:fill="FFFFFF"/>
    </w:rPr>
  </w:style>
  <w:style w:type="paragraph" w:customStyle="1" w:styleId="54">
    <w:name w:val="Body text (11)"/>
    <w:basedOn w:val="1"/>
    <w:link w:val="53"/>
    <w:qFormat/>
    <w:uiPriority w:val="0"/>
    <w:pPr>
      <w:widowControl w:val="0"/>
      <w:shd w:val="clear" w:color="auto" w:fill="FFFFFF"/>
      <w:spacing w:line="0" w:lineRule="atLeast"/>
      <w:ind w:hanging="340"/>
    </w:pPr>
    <w:rPr>
      <w:spacing w:val="10"/>
      <w:sz w:val="19"/>
      <w:szCs w:val="19"/>
    </w:rPr>
  </w:style>
  <w:style w:type="character" w:customStyle="1" w:styleId="55">
    <w:name w:val="Heading #3 + Not Bold"/>
    <w:basedOn w:val="37"/>
    <w:qFormat/>
    <w:uiPriority w:val="0"/>
    <w:rPr>
      <w:rFonts w:ascii="Times New Roman" w:hAnsi="Times New Roman" w:eastAsia="Times New Roman" w:cs="Times New Roman"/>
      <w:color w:val="000000"/>
      <w:spacing w:val="0"/>
      <w:w w:val="100"/>
      <w:position w:val="0"/>
      <w:sz w:val="22"/>
      <w:szCs w:val="22"/>
      <w:u w:val="none"/>
      <w:shd w:val="clear" w:color="auto" w:fill="FFFFFF"/>
      <w:lang w:val="ro-RO" w:eastAsia="ro-RO" w:bidi="ro-RO"/>
    </w:rPr>
  </w:style>
  <w:style w:type="paragraph" w:styleId="56">
    <w:name w:val="List Paragraph"/>
    <w:basedOn w:val="1"/>
    <w:link w:val="57"/>
    <w:qFormat/>
    <w:uiPriority w:val="34"/>
    <w:pPr>
      <w:ind w:left="708"/>
    </w:pPr>
    <w:rPr>
      <w:lang w:val="ro-RO" w:eastAsia="ro-RO"/>
    </w:rPr>
  </w:style>
  <w:style w:type="character" w:customStyle="1" w:styleId="57">
    <w:name w:val="List Paragraph Char"/>
    <w:link w:val="56"/>
    <w:qFormat/>
    <w:locked/>
    <w:uiPriority w:val="34"/>
    <w:rPr>
      <w:rFonts w:ascii="Times New Roman" w:hAnsi="Times New Roman" w:eastAsia="Times New Roman" w:cs="Times New Roman"/>
      <w:sz w:val="24"/>
      <w:szCs w:val="24"/>
      <w:lang w:val="ro-RO" w:eastAsia="ro-RO"/>
    </w:rPr>
  </w:style>
  <w:style w:type="character" w:customStyle="1" w:styleId="58">
    <w:name w:val="Heading 1 Char"/>
    <w:basedOn w:val="7"/>
    <w:link w:val="2"/>
    <w:qFormat/>
    <w:uiPriority w:val="9"/>
    <w:rPr>
      <w:rFonts w:ascii="Times New Roman" w:hAnsi="Times New Roman" w:eastAsia="Times New Roman" w:cs="Times New Roman"/>
      <w:b/>
      <w:bCs/>
      <w:sz w:val="24"/>
      <w:szCs w:val="24"/>
      <w:lang w:eastAsia="en-GB"/>
    </w:rPr>
  </w:style>
  <w:style w:type="character" w:customStyle="1" w:styleId="59">
    <w:name w:val="Heading 2 Char"/>
    <w:basedOn w:val="7"/>
    <w:link w:val="4"/>
    <w:qFormat/>
    <w:uiPriority w:val="9"/>
    <w:rPr>
      <w:rFonts w:ascii="Times New Roman" w:hAnsi="Times New Roman" w:eastAsia="Times New Roman" w:cs="Times New Roman"/>
      <w:b/>
      <w:bCs/>
      <w:sz w:val="24"/>
      <w:szCs w:val="24"/>
      <w:lang w:eastAsia="en-GB"/>
    </w:rPr>
  </w:style>
  <w:style w:type="character" w:customStyle="1" w:styleId="60">
    <w:name w:val="Heading 3 Char"/>
    <w:basedOn w:val="7"/>
    <w:link w:val="6"/>
    <w:qFormat/>
    <w:uiPriority w:val="9"/>
    <w:rPr>
      <w:rFonts w:ascii="Times New Roman" w:hAnsi="Times New Roman" w:eastAsia="Times New Roman" w:cs="Times New Roman"/>
      <w:b/>
      <w:bCs/>
      <w:sz w:val="24"/>
      <w:szCs w:val="24"/>
      <w:lang w:eastAsia="en-GB"/>
    </w:rPr>
  </w:style>
  <w:style w:type="character" w:customStyle="1" w:styleId="61">
    <w:name w:val="Header Char"/>
    <w:basedOn w:val="7"/>
    <w:link w:val="16"/>
    <w:qFormat/>
    <w:uiPriority w:val="0"/>
  </w:style>
  <w:style w:type="character" w:customStyle="1" w:styleId="62">
    <w:name w:val="Footer Char"/>
    <w:basedOn w:val="7"/>
    <w:link w:val="15"/>
    <w:qFormat/>
    <w:uiPriority w:val="99"/>
  </w:style>
  <w:style w:type="paragraph" w:customStyle="1" w:styleId="63">
    <w:name w:val="Titlu cuprins1"/>
    <w:basedOn w:val="2"/>
    <w:next w:val="1"/>
    <w:unhideWhenUsed/>
    <w:qFormat/>
    <w:uiPriority w:val="39"/>
    <w:pPr>
      <w:keepNext/>
      <w:keepLines/>
      <w:widowControl/>
      <w:numPr>
        <w:numId w:val="0"/>
      </w:numPr>
      <w:spacing w:before="240" w:line="259" w:lineRule="auto"/>
      <w:contextualSpacing w:val="0"/>
      <w:jc w:val="left"/>
      <w:outlineLvl w:val="9"/>
    </w:pPr>
    <w:rPr>
      <w:rFonts w:asciiTheme="majorHAnsi" w:hAnsiTheme="majorHAnsi" w:eastAsiaTheme="majorEastAsia" w:cstheme="majorBidi"/>
      <w:b w:val="0"/>
      <w:bCs w:val="0"/>
      <w:color w:val="376092" w:themeColor="accent1" w:themeShade="BF"/>
      <w:sz w:val="32"/>
      <w:szCs w:val="32"/>
      <w:lang w:val="en-US"/>
    </w:rPr>
  </w:style>
  <w:style w:type="paragraph" w:customStyle="1" w:styleId="64">
    <w:name w:val="Table Paragraph"/>
    <w:basedOn w:val="1"/>
    <w:qFormat/>
    <w:uiPriority w:val="1"/>
    <w:pPr>
      <w:widowControl w:val="0"/>
      <w:autoSpaceDE w:val="0"/>
      <w:autoSpaceDN w:val="0"/>
    </w:pPr>
    <w:rPr>
      <w:rFonts w:ascii="Corbel" w:hAnsi="Corbel" w:eastAsia="Corbel" w:cs="Corbel"/>
      <w:lang w:val="ro-RO"/>
    </w:rPr>
  </w:style>
  <w:style w:type="character" w:customStyle="1" w:styleId="65">
    <w:name w:val="Body Text Char"/>
    <w:basedOn w:val="7"/>
    <w:link w:val="10"/>
    <w:semiHidden/>
    <w:qFormat/>
    <w:uiPriority w:val="99"/>
  </w:style>
  <w:style w:type="character" w:customStyle="1" w:styleId="66">
    <w:name w:val="Comment Text Char"/>
    <w:basedOn w:val="7"/>
    <w:link w:val="12"/>
    <w:qFormat/>
    <w:uiPriority w:val="99"/>
    <w:rPr>
      <w:sz w:val="20"/>
      <w:szCs w:val="20"/>
    </w:rPr>
  </w:style>
  <w:style w:type="character" w:customStyle="1" w:styleId="67">
    <w:name w:val="Comment Subject Char"/>
    <w:basedOn w:val="66"/>
    <w:link w:val="13"/>
    <w:semiHidden/>
    <w:qFormat/>
    <w:uiPriority w:val="99"/>
    <w:rPr>
      <w:b/>
      <w:bCs/>
      <w:sz w:val="20"/>
      <w:szCs w:val="20"/>
    </w:rPr>
  </w:style>
  <w:style w:type="paragraph" w:customStyle="1" w:styleId="68">
    <w:name w:val="Revizuire1"/>
    <w:hidden/>
    <w:semiHidden/>
    <w:qFormat/>
    <w:uiPriority w:val="99"/>
    <w:rPr>
      <w:rFonts w:asciiTheme="minorHAnsi" w:hAnsiTheme="minorHAnsi" w:eastAsiaTheme="minorHAnsi" w:cstheme="minorBidi"/>
      <w:sz w:val="22"/>
      <w:szCs w:val="22"/>
      <w:lang w:val="en-GB" w:eastAsia="en-US" w:bidi="ar-SA"/>
    </w:rPr>
  </w:style>
  <w:style w:type="character" w:customStyle="1" w:styleId="69">
    <w:name w:val="Unresolved Mention1"/>
    <w:basedOn w:val="7"/>
    <w:semiHidden/>
    <w:unhideWhenUsed/>
    <w:qFormat/>
    <w:uiPriority w:val="99"/>
    <w:rPr>
      <w:color w:val="605E5C"/>
      <w:shd w:val="clear" w:color="auto" w:fill="E1DFDD"/>
    </w:rPr>
  </w:style>
  <w:style w:type="character" w:customStyle="1" w:styleId="70">
    <w:name w:val="Balloon Text Char"/>
    <w:basedOn w:val="7"/>
    <w:link w:val="9"/>
    <w:semiHidden/>
    <w:qFormat/>
    <w:uiPriority w:val="99"/>
    <w:rPr>
      <w:rFonts w:ascii="Tahoma" w:hAnsi="Tahoma" w:eastAsia="Times New Roman" w:cs="Tahoma"/>
      <w:sz w:val="16"/>
      <w:szCs w:val="16"/>
      <w:lang w:eastAsia="en-GB"/>
    </w:rPr>
  </w:style>
  <w:style w:type="paragraph" w:customStyle="1" w:styleId="71">
    <w:name w:val="Default"/>
    <w:qFormat/>
    <w:uiPriority w:val="0"/>
    <w:pPr>
      <w:autoSpaceDE w:val="0"/>
      <w:autoSpaceDN w:val="0"/>
      <w:adjustRightInd w:val="0"/>
    </w:pPr>
    <w:rPr>
      <w:rFonts w:ascii="Andes" w:hAnsi="Andes" w:cs="Andes" w:eastAsiaTheme="minorHAnsi"/>
      <w:color w:val="000000"/>
      <w:sz w:val="24"/>
      <w:szCs w:val="24"/>
      <w:lang w:val="ro-RO" w:eastAsia="en-US" w:bidi="ar-SA"/>
    </w:rPr>
  </w:style>
  <w:style w:type="character" w:customStyle="1" w:styleId="72">
    <w:name w:val="Mențiune Nerezolvat1"/>
    <w:basedOn w:val="7"/>
    <w:semiHidden/>
    <w:unhideWhenUsed/>
    <w:qFormat/>
    <w:uiPriority w:val="99"/>
    <w:rPr>
      <w:color w:val="605E5C"/>
      <w:shd w:val="clear" w:color="auto" w:fill="E1DFDD"/>
    </w:rPr>
  </w:style>
  <w:style w:type="character" w:customStyle="1" w:styleId="73">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832797-49DB-4B77-9C79-8E3AD6FB16E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29344</Words>
  <Characters>167265</Characters>
  <Lines>1393</Lines>
  <Paragraphs>392</Paragraphs>
  <TotalTime>21</TotalTime>
  <ScaleCrop>false</ScaleCrop>
  <LinksUpToDate>false</LinksUpToDate>
  <CharactersWithSpaces>196217</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2023-12-13T12:15:00Z</dcterms:created>
  <dc:creator>BITU LUCA-CRISTIAN</dc:creator>
  <cp:lastModifiedBy>WPS_1710139966</cp:lastModifiedBy>
  <cp:lastPrinted>2026-02-26T08:04:38Z</cp:lastPrinted>
  <dcterms:modified xsi:type="dcterms:W3CDTF">2026-02-26T08:05:39Z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50087CF459C8443CAE34E979FABFA0D3_12</vt:lpwstr>
  </property>
</Properties>
</file>